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76B0" w14:textId="559CD6C6" w:rsidR="00B275B2" w:rsidRDefault="00B275B2" w:rsidP="00F12367">
      <w:pPr>
        <w:pStyle w:val="Heading1"/>
      </w:pPr>
    </w:p>
    <w:p w14:paraId="3F336DC8" w14:textId="087DA45C" w:rsidR="00B275B2" w:rsidRDefault="00B275B2" w:rsidP="00F12367">
      <w:pPr>
        <w:pStyle w:val="Heading1"/>
      </w:pPr>
    </w:p>
    <w:p w14:paraId="3157D0E7" w14:textId="716447C8" w:rsidR="00B275B2" w:rsidRDefault="00B275B2" w:rsidP="00F12367">
      <w:pPr>
        <w:pStyle w:val="Heading1"/>
      </w:pPr>
      <w:r>
        <w:t xml:space="preserve">[ </w:t>
      </w:r>
      <w:r w:rsidR="00E9026E">
        <w:t>Artisan Hair Academy</w:t>
      </w:r>
      <w:r w:rsidR="009415BD">
        <w:t xml:space="preserve"> </w:t>
      </w:r>
      <w:r>
        <w:t>]</w:t>
      </w:r>
    </w:p>
    <w:p w14:paraId="1AF9860D" w14:textId="144D5D2F" w:rsidR="007905E6" w:rsidRPr="007905E6" w:rsidRDefault="00642FD5" w:rsidP="007905E6">
      <w:pPr>
        <w:pStyle w:val="Heading1"/>
      </w:pPr>
      <w:r>
        <w:t>Safeguarding and Protection</w:t>
      </w:r>
      <w:r w:rsidR="009670B7">
        <w:t xml:space="preserve"> Policy</w:t>
      </w:r>
    </w:p>
    <w:p w14:paraId="46EB2DCC" w14:textId="77777777" w:rsidR="00B275B2" w:rsidRDefault="00B275B2" w:rsidP="00F12367">
      <w:pPr>
        <w:pStyle w:val="Heading1"/>
      </w:pPr>
    </w:p>
    <w:p w14:paraId="1F84B7F6" w14:textId="10F5F601" w:rsidR="001A7908" w:rsidRDefault="001A7908" w:rsidP="00F12367">
      <w:pPr>
        <w:pStyle w:val="Heading1"/>
      </w:pPr>
      <w:r>
        <w:br w:type="page"/>
      </w:r>
    </w:p>
    <w:sdt>
      <w:sdtPr>
        <w:rPr>
          <w:rFonts w:ascii="Arial" w:eastAsiaTheme="minorEastAsia" w:hAnsi="Arial" w:cs="Arial"/>
          <w:color w:val="auto"/>
          <w:sz w:val="22"/>
          <w:szCs w:val="22"/>
          <w:lang w:val="en-GB" w:eastAsia="en-GB"/>
        </w:rPr>
        <w:id w:val="-22085501"/>
        <w:docPartObj>
          <w:docPartGallery w:val="Table of Contents"/>
          <w:docPartUnique/>
        </w:docPartObj>
      </w:sdtPr>
      <w:sdtEndPr>
        <w:rPr>
          <w:b/>
          <w:bCs/>
          <w:noProof/>
        </w:rPr>
      </w:sdtEndPr>
      <w:sdtContent>
        <w:p w14:paraId="6B81B1A8" w14:textId="784B646C" w:rsidR="00372BD1" w:rsidRDefault="00372BD1">
          <w:pPr>
            <w:pStyle w:val="TOCHeading"/>
          </w:pPr>
          <w:r>
            <w:t>Contents</w:t>
          </w:r>
        </w:p>
        <w:p w14:paraId="58AD93D3" w14:textId="11C1BA77" w:rsidR="00CE0596" w:rsidRDefault="00654890">
          <w:pPr>
            <w:pStyle w:val="TOC2"/>
            <w:tabs>
              <w:tab w:val="right" w:leader="dot" w:pos="9860"/>
            </w:tabs>
            <w:rPr>
              <w:rFonts w:asciiTheme="minorHAnsi" w:hAnsiTheme="minorHAnsi" w:cstheme="minorBidi"/>
              <w:noProof/>
            </w:rPr>
          </w:pPr>
          <w:r>
            <w:rPr>
              <w:b/>
              <w:bCs/>
              <w:noProof/>
            </w:rPr>
            <w:fldChar w:fldCharType="begin"/>
          </w:r>
          <w:r>
            <w:rPr>
              <w:b/>
              <w:bCs/>
              <w:noProof/>
            </w:rPr>
            <w:instrText xml:space="preserve"> TOC \o "2-3" \h \z \u </w:instrText>
          </w:r>
          <w:r>
            <w:rPr>
              <w:b/>
              <w:bCs/>
              <w:noProof/>
            </w:rPr>
            <w:fldChar w:fldCharType="separate"/>
          </w:r>
          <w:hyperlink w:anchor="_Toc114157193" w:history="1">
            <w:r w:rsidR="00CE0596" w:rsidRPr="00E748A4">
              <w:rPr>
                <w:rStyle w:val="Hyperlink"/>
                <w:noProof/>
              </w:rPr>
              <w:t>Introduction</w:t>
            </w:r>
            <w:r w:rsidR="00CE0596">
              <w:rPr>
                <w:noProof/>
                <w:webHidden/>
              </w:rPr>
              <w:tab/>
            </w:r>
            <w:r w:rsidR="00CE0596">
              <w:rPr>
                <w:noProof/>
                <w:webHidden/>
              </w:rPr>
              <w:fldChar w:fldCharType="begin"/>
            </w:r>
            <w:r w:rsidR="00CE0596">
              <w:rPr>
                <w:noProof/>
                <w:webHidden/>
              </w:rPr>
              <w:instrText xml:space="preserve"> PAGEREF _Toc114157193 \h </w:instrText>
            </w:r>
            <w:r w:rsidR="00CE0596">
              <w:rPr>
                <w:noProof/>
                <w:webHidden/>
              </w:rPr>
            </w:r>
            <w:r w:rsidR="00CE0596">
              <w:rPr>
                <w:noProof/>
                <w:webHidden/>
              </w:rPr>
              <w:fldChar w:fldCharType="separate"/>
            </w:r>
            <w:r w:rsidR="00CE0596">
              <w:rPr>
                <w:noProof/>
                <w:webHidden/>
              </w:rPr>
              <w:t>3</w:t>
            </w:r>
            <w:r w:rsidR="00CE0596">
              <w:rPr>
                <w:noProof/>
                <w:webHidden/>
              </w:rPr>
              <w:fldChar w:fldCharType="end"/>
            </w:r>
          </w:hyperlink>
        </w:p>
        <w:p w14:paraId="160CE6FD" w14:textId="719EE751" w:rsidR="00CE0596" w:rsidRDefault="00137C52">
          <w:pPr>
            <w:pStyle w:val="TOC2"/>
            <w:tabs>
              <w:tab w:val="right" w:leader="dot" w:pos="9860"/>
            </w:tabs>
            <w:rPr>
              <w:rFonts w:asciiTheme="minorHAnsi" w:hAnsiTheme="minorHAnsi" w:cstheme="minorBidi"/>
              <w:noProof/>
            </w:rPr>
          </w:pPr>
          <w:hyperlink w:anchor="_Toc114157194" w:history="1">
            <w:r w:rsidR="00CE0596" w:rsidRPr="00E748A4">
              <w:rPr>
                <w:rStyle w:val="Hyperlink"/>
                <w:noProof/>
              </w:rPr>
              <w:t>Key Principles</w:t>
            </w:r>
            <w:r w:rsidR="00CE0596">
              <w:rPr>
                <w:noProof/>
                <w:webHidden/>
              </w:rPr>
              <w:tab/>
            </w:r>
            <w:r w:rsidR="00CE0596">
              <w:rPr>
                <w:noProof/>
                <w:webHidden/>
              </w:rPr>
              <w:fldChar w:fldCharType="begin"/>
            </w:r>
            <w:r w:rsidR="00CE0596">
              <w:rPr>
                <w:noProof/>
                <w:webHidden/>
              </w:rPr>
              <w:instrText xml:space="preserve"> PAGEREF _Toc114157194 \h </w:instrText>
            </w:r>
            <w:r w:rsidR="00CE0596">
              <w:rPr>
                <w:noProof/>
                <w:webHidden/>
              </w:rPr>
            </w:r>
            <w:r w:rsidR="00CE0596">
              <w:rPr>
                <w:noProof/>
                <w:webHidden/>
              </w:rPr>
              <w:fldChar w:fldCharType="separate"/>
            </w:r>
            <w:r w:rsidR="00CE0596">
              <w:rPr>
                <w:noProof/>
                <w:webHidden/>
              </w:rPr>
              <w:t>3</w:t>
            </w:r>
            <w:r w:rsidR="00CE0596">
              <w:rPr>
                <w:noProof/>
                <w:webHidden/>
              </w:rPr>
              <w:fldChar w:fldCharType="end"/>
            </w:r>
          </w:hyperlink>
        </w:p>
        <w:p w14:paraId="08062984" w14:textId="1A8B2C60" w:rsidR="00CE0596" w:rsidRDefault="00137C52">
          <w:pPr>
            <w:pStyle w:val="TOC2"/>
            <w:tabs>
              <w:tab w:val="right" w:leader="dot" w:pos="9860"/>
            </w:tabs>
            <w:rPr>
              <w:rFonts w:asciiTheme="minorHAnsi" w:hAnsiTheme="minorHAnsi" w:cstheme="minorBidi"/>
              <w:noProof/>
            </w:rPr>
          </w:pPr>
          <w:hyperlink w:anchor="_Toc114157195" w:history="1">
            <w:r w:rsidR="00CE0596" w:rsidRPr="00E748A4">
              <w:rPr>
                <w:rStyle w:val="Hyperlink"/>
                <w:noProof/>
              </w:rPr>
              <w:t>Definition of safeguarding</w:t>
            </w:r>
            <w:r w:rsidR="00CE0596">
              <w:rPr>
                <w:noProof/>
                <w:webHidden/>
              </w:rPr>
              <w:tab/>
            </w:r>
            <w:r w:rsidR="00CE0596">
              <w:rPr>
                <w:noProof/>
                <w:webHidden/>
              </w:rPr>
              <w:fldChar w:fldCharType="begin"/>
            </w:r>
            <w:r w:rsidR="00CE0596">
              <w:rPr>
                <w:noProof/>
                <w:webHidden/>
              </w:rPr>
              <w:instrText xml:space="preserve"> PAGEREF _Toc114157195 \h </w:instrText>
            </w:r>
            <w:r w:rsidR="00CE0596">
              <w:rPr>
                <w:noProof/>
                <w:webHidden/>
              </w:rPr>
            </w:r>
            <w:r w:rsidR="00CE0596">
              <w:rPr>
                <w:noProof/>
                <w:webHidden/>
              </w:rPr>
              <w:fldChar w:fldCharType="separate"/>
            </w:r>
            <w:r w:rsidR="00CE0596">
              <w:rPr>
                <w:noProof/>
                <w:webHidden/>
              </w:rPr>
              <w:t>3</w:t>
            </w:r>
            <w:r w:rsidR="00CE0596">
              <w:rPr>
                <w:noProof/>
                <w:webHidden/>
              </w:rPr>
              <w:fldChar w:fldCharType="end"/>
            </w:r>
          </w:hyperlink>
        </w:p>
        <w:p w14:paraId="6F7369DE" w14:textId="15E406C7" w:rsidR="00CE0596" w:rsidRDefault="00137C52">
          <w:pPr>
            <w:pStyle w:val="TOC2"/>
            <w:tabs>
              <w:tab w:val="right" w:leader="dot" w:pos="9860"/>
            </w:tabs>
            <w:rPr>
              <w:rFonts w:asciiTheme="minorHAnsi" w:hAnsiTheme="minorHAnsi" w:cstheme="minorBidi"/>
              <w:noProof/>
            </w:rPr>
          </w:pPr>
          <w:hyperlink w:anchor="_Toc114157196" w:history="1">
            <w:r w:rsidR="00CE0596" w:rsidRPr="00E748A4">
              <w:rPr>
                <w:rStyle w:val="Hyperlink"/>
                <w:noProof/>
              </w:rPr>
              <w:t>Guidelines</w:t>
            </w:r>
            <w:r w:rsidR="00CE0596">
              <w:rPr>
                <w:noProof/>
                <w:webHidden/>
              </w:rPr>
              <w:tab/>
            </w:r>
            <w:r w:rsidR="00CE0596">
              <w:rPr>
                <w:noProof/>
                <w:webHidden/>
              </w:rPr>
              <w:fldChar w:fldCharType="begin"/>
            </w:r>
            <w:r w:rsidR="00CE0596">
              <w:rPr>
                <w:noProof/>
                <w:webHidden/>
              </w:rPr>
              <w:instrText xml:space="preserve"> PAGEREF _Toc114157196 \h </w:instrText>
            </w:r>
            <w:r w:rsidR="00CE0596">
              <w:rPr>
                <w:noProof/>
                <w:webHidden/>
              </w:rPr>
            </w:r>
            <w:r w:rsidR="00CE0596">
              <w:rPr>
                <w:noProof/>
                <w:webHidden/>
              </w:rPr>
              <w:fldChar w:fldCharType="separate"/>
            </w:r>
            <w:r w:rsidR="00CE0596">
              <w:rPr>
                <w:noProof/>
                <w:webHidden/>
              </w:rPr>
              <w:t>3</w:t>
            </w:r>
            <w:r w:rsidR="00CE0596">
              <w:rPr>
                <w:noProof/>
                <w:webHidden/>
              </w:rPr>
              <w:fldChar w:fldCharType="end"/>
            </w:r>
          </w:hyperlink>
        </w:p>
        <w:p w14:paraId="39B15D57" w14:textId="7296C3F2" w:rsidR="00CE0596" w:rsidRDefault="00137C52">
          <w:pPr>
            <w:pStyle w:val="TOC2"/>
            <w:tabs>
              <w:tab w:val="right" w:leader="dot" w:pos="9860"/>
            </w:tabs>
            <w:rPr>
              <w:rFonts w:asciiTheme="minorHAnsi" w:hAnsiTheme="minorHAnsi" w:cstheme="minorBidi"/>
              <w:noProof/>
            </w:rPr>
          </w:pPr>
          <w:hyperlink w:anchor="_Toc114157197" w:history="1">
            <w:r w:rsidR="00CE0596" w:rsidRPr="00E748A4">
              <w:rPr>
                <w:rStyle w:val="Hyperlink"/>
                <w:noProof/>
              </w:rPr>
              <w:t>Reducing risk</w:t>
            </w:r>
            <w:r w:rsidR="00CE0596">
              <w:rPr>
                <w:noProof/>
                <w:webHidden/>
              </w:rPr>
              <w:tab/>
            </w:r>
            <w:r w:rsidR="00CE0596">
              <w:rPr>
                <w:noProof/>
                <w:webHidden/>
              </w:rPr>
              <w:fldChar w:fldCharType="begin"/>
            </w:r>
            <w:r w:rsidR="00CE0596">
              <w:rPr>
                <w:noProof/>
                <w:webHidden/>
              </w:rPr>
              <w:instrText xml:space="preserve"> PAGEREF _Toc114157197 \h </w:instrText>
            </w:r>
            <w:r w:rsidR="00CE0596">
              <w:rPr>
                <w:noProof/>
                <w:webHidden/>
              </w:rPr>
            </w:r>
            <w:r w:rsidR="00CE0596">
              <w:rPr>
                <w:noProof/>
                <w:webHidden/>
              </w:rPr>
              <w:fldChar w:fldCharType="separate"/>
            </w:r>
            <w:r w:rsidR="00CE0596">
              <w:rPr>
                <w:noProof/>
                <w:webHidden/>
              </w:rPr>
              <w:t>4</w:t>
            </w:r>
            <w:r w:rsidR="00CE0596">
              <w:rPr>
                <w:noProof/>
                <w:webHidden/>
              </w:rPr>
              <w:fldChar w:fldCharType="end"/>
            </w:r>
          </w:hyperlink>
        </w:p>
        <w:p w14:paraId="69895CDC" w14:textId="64569776" w:rsidR="00372BD1" w:rsidRDefault="00654890">
          <w:r>
            <w:rPr>
              <w:b/>
              <w:bCs/>
              <w:noProof/>
            </w:rPr>
            <w:fldChar w:fldCharType="end"/>
          </w:r>
        </w:p>
      </w:sdtContent>
    </w:sdt>
    <w:p w14:paraId="38B686C7" w14:textId="51DFA3E9" w:rsidR="00372BD1" w:rsidRDefault="00372BD1">
      <w:pPr>
        <w:widowControl/>
        <w:autoSpaceDE/>
        <w:autoSpaceDN/>
        <w:adjustRightInd/>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3FD7C02C" w14:textId="7CC87722" w:rsidR="00550728" w:rsidRDefault="00DC5BD8" w:rsidP="00C76266">
      <w:pPr>
        <w:pStyle w:val="Heading2"/>
      </w:pPr>
      <w:bookmarkStart w:id="0" w:name="_Toc114157193"/>
      <w:r w:rsidRPr="00C76266">
        <w:lastRenderedPageBreak/>
        <w:t>Introduction</w:t>
      </w:r>
      <w:bookmarkEnd w:id="0"/>
    </w:p>
    <w:p w14:paraId="4267E7D5" w14:textId="0D49094C" w:rsidR="00642FD5" w:rsidRPr="00642FD5" w:rsidRDefault="00642FD5" w:rsidP="00642FD5">
      <w:pPr>
        <w:jc w:val="both"/>
      </w:pPr>
      <w:r w:rsidRPr="00642FD5">
        <w:t>This document outlines</w:t>
      </w:r>
      <w:r w:rsidR="003C20B2">
        <w:t xml:space="preserve"> Artisan Hair Academy</w:t>
      </w:r>
      <w:r w:rsidR="002B2535">
        <w:t>’s</w:t>
      </w:r>
      <w:r w:rsidRPr="003D5BFF">
        <w:rPr>
          <w:i/>
          <w:iCs/>
        </w:rPr>
        <w:t xml:space="preserve"> </w:t>
      </w:r>
      <w:r w:rsidRPr="00642FD5">
        <w:t>safeguarding and protection policy. It seeks to give a clear indication about what all individuals can expect from its learning provision environment. The commitments and objectives described in this policy are expected to be experienced by all learners on each programme of study and are intended outline specific strategies which support the young person and vulnerable adults throughout their learning.</w:t>
      </w:r>
    </w:p>
    <w:p w14:paraId="2735BE9B" w14:textId="77777777" w:rsidR="00642FD5" w:rsidRPr="00642FD5" w:rsidRDefault="00642FD5" w:rsidP="00642FD5">
      <w:pPr>
        <w:jc w:val="both"/>
      </w:pPr>
    </w:p>
    <w:p w14:paraId="53DE0D2F" w14:textId="311FCA14" w:rsidR="00642FD5" w:rsidRPr="00642FD5" w:rsidRDefault="00642FD5" w:rsidP="00642FD5">
      <w:pPr>
        <w:jc w:val="both"/>
      </w:pPr>
      <w:r w:rsidRPr="00642FD5">
        <w:t xml:space="preserve">The policy is set out in three sections. The first focuses on the key principles which underpin </w:t>
      </w:r>
      <w:bookmarkStart w:id="1" w:name="_Hlk114156952"/>
      <w:r w:rsidR="003C20B2" w:rsidRPr="00037C60">
        <w:t>Artisan Hair Academy</w:t>
      </w:r>
      <w:r w:rsidR="00037C60" w:rsidRPr="00037C60">
        <w:t>’s</w:t>
      </w:r>
      <w:r w:rsidRPr="00037C60">
        <w:t xml:space="preserve"> </w:t>
      </w:r>
      <w:bookmarkEnd w:id="1"/>
      <w:r w:rsidRPr="00642FD5">
        <w:t xml:space="preserve"> approach to safeguarding and protecting children</w:t>
      </w:r>
      <w:r w:rsidRPr="00642FD5">
        <w:rPr>
          <w:vertAlign w:val="superscript"/>
        </w:rPr>
        <w:footnoteReference w:id="2"/>
      </w:r>
      <w:r w:rsidRPr="00642FD5">
        <w:t xml:space="preserve"> and young people and vulnerable adults. The second describes how Qualifi defines how the organisation will safeguard and protect all learners throughout their learning experience.  The third discusses aspects of the implementation of this policy. </w:t>
      </w:r>
    </w:p>
    <w:p w14:paraId="521AB115" w14:textId="7CBF1873" w:rsidR="000C326E" w:rsidRDefault="00642FD5" w:rsidP="000C326E">
      <w:pPr>
        <w:pStyle w:val="Heading2"/>
      </w:pPr>
      <w:bookmarkStart w:id="2" w:name="_Toc114157194"/>
      <w:r>
        <w:t>Key Principles</w:t>
      </w:r>
      <w:bookmarkEnd w:id="2"/>
    </w:p>
    <w:p w14:paraId="29DDE068" w14:textId="77777777" w:rsidR="00642FD5" w:rsidRPr="00642FD5" w:rsidRDefault="00642FD5" w:rsidP="00642FD5">
      <w:pPr>
        <w:numPr>
          <w:ilvl w:val="0"/>
          <w:numId w:val="13"/>
        </w:numPr>
        <w:pBdr>
          <w:top w:val="nil"/>
          <w:left w:val="nil"/>
          <w:bottom w:val="nil"/>
          <w:right w:val="nil"/>
          <w:between w:val="nil"/>
        </w:pBdr>
        <w:spacing w:before="120"/>
        <w:jc w:val="both"/>
      </w:pPr>
      <w:r w:rsidRPr="00642FD5">
        <w:t>current safeguarding context in a post-16 training provision</w:t>
      </w:r>
    </w:p>
    <w:p w14:paraId="3FF6C6A1" w14:textId="77777777" w:rsidR="00642FD5" w:rsidRPr="00642FD5" w:rsidRDefault="00642FD5" w:rsidP="00642FD5">
      <w:pPr>
        <w:numPr>
          <w:ilvl w:val="0"/>
          <w:numId w:val="13"/>
        </w:numPr>
        <w:pBdr>
          <w:top w:val="nil"/>
          <w:left w:val="nil"/>
          <w:bottom w:val="nil"/>
          <w:right w:val="nil"/>
          <w:between w:val="nil"/>
        </w:pBdr>
        <w:jc w:val="both"/>
      </w:pPr>
      <w:r w:rsidRPr="00642FD5">
        <w:t>roles and responsibilities of all staff to safeguard children and young people</w:t>
      </w:r>
    </w:p>
    <w:p w14:paraId="792EE7F3" w14:textId="77777777" w:rsidR="00642FD5" w:rsidRPr="00642FD5" w:rsidRDefault="00642FD5" w:rsidP="00642FD5">
      <w:pPr>
        <w:numPr>
          <w:ilvl w:val="0"/>
          <w:numId w:val="13"/>
        </w:numPr>
        <w:pBdr>
          <w:top w:val="nil"/>
          <w:left w:val="nil"/>
          <w:bottom w:val="nil"/>
          <w:right w:val="nil"/>
          <w:between w:val="nil"/>
        </w:pBdr>
        <w:spacing w:after="120"/>
        <w:jc w:val="both"/>
      </w:pPr>
      <w:r w:rsidRPr="00642FD5">
        <w:t>potential risk in a learning environment context</w:t>
      </w:r>
    </w:p>
    <w:p w14:paraId="256B6322" w14:textId="265E0F1A" w:rsidR="003D5BFF" w:rsidRDefault="00642FD5" w:rsidP="003D5BFF">
      <w:pPr>
        <w:pStyle w:val="Heading2"/>
      </w:pPr>
      <w:bookmarkStart w:id="3" w:name="_Toc114157195"/>
      <w:r>
        <w:t>Definition of safeguarding</w:t>
      </w:r>
      <w:bookmarkEnd w:id="3"/>
    </w:p>
    <w:p w14:paraId="10CFE335" w14:textId="4ABA3150" w:rsidR="007D7DD1" w:rsidRPr="007D7DD1" w:rsidRDefault="007D7DD1" w:rsidP="007D7DD1">
      <w:pPr>
        <w:jc w:val="both"/>
      </w:pPr>
      <w:r w:rsidRPr="007D7DD1">
        <w:t>This</w:t>
      </w:r>
      <w:r>
        <w:t xml:space="preserve"> centre</w:t>
      </w:r>
      <w:r w:rsidRPr="007D7DD1">
        <w:t xml:space="preserve"> adopts the definition derived from The Children Act 2004:</w:t>
      </w:r>
    </w:p>
    <w:p w14:paraId="124C0FAB" w14:textId="77777777" w:rsidR="007D7DD1" w:rsidRPr="007D7DD1" w:rsidRDefault="007D7DD1" w:rsidP="007D7DD1">
      <w:pPr>
        <w:numPr>
          <w:ilvl w:val="0"/>
          <w:numId w:val="15"/>
        </w:numPr>
        <w:pBdr>
          <w:top w:val="nil"/>
          <w:left w:val="nil"/>
          <w:bottom w:val="nil"/>
          <w:right w:val="nil"/>
          <w:between w:val="nil"/>
        </w:pBdr>
        <w:spacing w:before="120"/>
        <w:jc w:val="both"/>
      </w:pPr>
      <w:r w:rsidRPr="007D7DD1">
        <w:t>protecting children and young people (and vulnerable adults) from maltreatment</w:t>
      </w:r>
    </w:p>
    <w:p w14:paraId="0B01DB6E" w14:textId="77777777" w:rsidR="007D7DD1" w:rsidRPr="007D7DD1" w:rsidRDefault="007D7DD1" w:rsidP="007D7DD1">
      <w:pPr>
        <w:numPr>
          <w:ilvl w:val="0"/>
          <w:numId w:val="15"/>
        </w:numPr>
        <w:pBdr>
          <w:top w:val="nil"/>
          <w:left w:val="nil"/>
          <w:bottom w:val="nil"/>
          <w:right w:val="nil"/>
          <w:between w:val="nil"/>
        </w:pBdr>
        <w:jc w:val="both"/>
      </w:pPr>
      <w:r w:rsidRPr="007D7DD1">
        <w:t>preventing impairment of children and young people’s (and vulnerable adults) health or development</w:t>
      </w:r>
    </w:p>
    <w:p w14:paraId="614BC94D" w14:textId="77777777" w:rsidR="007D7DD1" w:rsidRPr="007D7DD1" w:rsidRDefault="007D7DD1" w:rsidP="007D7DD1">
      <w:pPr>
        <w:numPr>
          <w:ilvl w:val="0"/>
          <w:numId w:val="15"/>
        </w:numPr>
        <w:pBdr>
          <w:top w:val="nil"/>
          <w:left w:val="nil"/>
          <w:bottom w:val="nil"/>
          <w:right w:val="nil"/>
          <w:between w:val="nil"/>
        </w:pBdr>
        <w:spacing w:after="200"/>
        <w:jc w:val="both"/>
      </w:pPr>
      <w:bookmarkStart w:id="4" w:name="_gjdgxs" w:colFirst="0" w:colLast="0"/>
      <w:bookmarkEnd w:id="4"/>
      <w:r w:rsidRPr="007D7DD1">
        <w:t>undertaking that role so as to enable those children and young people (and vulnerable adults) to have optimum life chances and to enter adulthood successfully.</w:t>
      </w:r>
    </w:p>
    <w:p w14:paraId="33766D9C" w14:textId="2DFF4E30" w:rsidR="007D7DD1" w:rsidRPr="007D7DD1" w:rsidRDefault="007D7DD1" w:rsidP="007D7DD1">
      <w:pPr>
        <w:jc w:val="both"/>
      </w:pPr>
      <w:r>
        <w:t>This centre</w:t>
      </w:r>
      <w:r w:rsidRPr="007D7DD1">
        <w:t xml:space="preserve"> recognises that safeguarding is not just about protecting children and young people from deliberate harm. It includes issues such as:</w:t>
      </w:r>
    </w:p>
    <w:p w14:paraId="6157BCF5" w14:textId="77777777" w:rsidR="007D7DD1" w:rsidRPr="007D7DD1" w:rsidRDefault="007D7DD1" w:rsidP="007D7DD1">
      <w:pPr>
        <w:numPr>
          <w:ilvl w:val="0"/>
          <w:numId w:val="14"/>
        </w:numPr>
        <w:pBdr>
          <w:top w:val="nil"/>
          <w:left w:val="nil"/>
          <w:bottom w:val="nil"/>
          <w:right w:val="nil"/>
          <w:between w:val="nil"/>
        </w:pBdr>
        <w:spacing w:before="120"/>
        <w:jc w:val="both"/>
      </w:pPr>
      <w:r w:rsidRPr="007D7DD1">
        <w:t>health and safety</w:t>
      </w:r>
    </w:p>
    <w:p w14:paraId="7DF8E12F" w14:textId="77777777" w:rsidR="007D7DD1" w:rsidRPr="007D7DD1" w:rsidRDefault="007D7DD1" w:rsidP="007D7DD1">
      <w:pPr>
        <w:numPr>
          <w:ilvl w:val="0"/>
          <w:numId w:val="14"/>
        </w:numPr>
        <w:pBdr>
          <w:top w:val="nil"/>
          <w:left w:val="nil"/>
          <w:bottom w:val="nil"/>
          <w:right w:val="nil"/>
          <w:between w:val="nil"/>
        </w:pBdr>
        <w:jc w:val="both"/>
      </w:pPr>
      <w:r w:rsidRPr="007D7DD1">
        <w:t>bullying</w:t>
      </w:r>
    </w:p>
    <w:p w14:paraId="4FE3D4A4" w14:textId="77777777" w:rsidR="007D7DD1" w:rsidRPr="007D7DD1" w:rsidRDefault="007D7DD1" w:rsidP="007D7DD1">
      <w:pPr>
        <w:numPr>
          <w:ilvl w:val="0"/>
          <w:numId w:val="14"/>
        </w:numPr>
        <w:pBdr>
          <w:top w:val="nil"/>
          <w:left w:val="nil"/>
          <w:bottom w:val="nil"/>
          <w:right w:val="nil"/>
          <w:between w:val="nil"/>
        </w:pBdr>
        <w:jc w:val="both"/>
      </w:pPr>
      <w:r w:rsidRPr="007D7DD1">
        <w:t>racist abuse</w:t>
      </w:r>
    </w:p>
    <w:p w14:paraId="72616820" w14:textId="77777777" w:rsidR="007D7DD1" w:rsidRPr="007D7DD1" w:rsidRDefault="007D7DD1" w:rsidP="007D7DD1">
      <w:pPr>
        <w:numPr>
          <w:ilvl w:val="0"/>
          <w:numId w:val="14"/>
        </w:numPr>
        <w:pBdr>
          <w:top w:val="nil"/>
          <w:left w:val="nil"/>
          <w:bottom w:val="nil"/>
          <w:right w:val="nil"/>
          <w:between w:val="nil"/>
        </w:pBdr>
        <w:jc w:val="both"/>
      </w:pPr>
      <w:r w:rsidRPr="007D7DD1">
        <w:t>harassment and discrimination</w:t>
      </w:r>
    </w:p>
    <w:p w14:paraId="1DE47795" w14:textId="77777777" w:rsidR="007D7DD1" w:rsidRPr="007D7DD1" w:rsidRDefault="007D7DD1" w:rsidP="007D7DD1">
      <w:pPr>
        <w:numPr>
          <w:ilvl w:val="0"/>
          <w:numId w:val="14"/>
        </w:numPr>
        <w:pBdr>
          <w:top w:val="nil"/>
          <w:left w:val="nil"/>
          <w:bottom w:val="nil"/>
          <w:right w:val="nil"/>
          <w:between w:val="nil"/>
        </w:pBdr>
        <w:jc w:val="both"/>
      </w:pPr>
      <w:r w:rsidRPr="007D7DD1">
        <w:t>use of physical intervention</w:t>
      </w:r>
    </w:p>
    <w:p w14:paraId="60CC4E97" w14:textId="77777777" w:rsidR="007D7DD1" w:rsidRPr="007D7DD1" w:rsidRDefault="007D7DD1" w:rsidP="007D7DD1">
      <w:pPr>
        <w:numPr>
          <w:ilvl w:val="0"/>
          <w:numId w:val="14"/>
        </w:numPr>
        <w:pBdr>
          <w:top w:val="nil"/>
          <w:left w:val="nil"/>
          <w:bottom w:val="nil"/>
          <w:right w:val="nil"/>
          <w:between w:val="nil"/>
        </w:pBdr>
        <w:jc w:val="both"/>
      </w:pPr>
      <w:r w:rsidRPr="007D7DD1">
        <w:t>meeting the needs of individuals with medical conditions</w:t>
      </w:r>
    </w:p>
    <w:p w14:paraId="18EFF14A" w14:textId="77777777" w:rsidR="007D7DD1" w:rsidRPr="007D7DD1" w:rsidRDefault="007D7DD1" w:rsidP="007D7DD1">
      <w:pPr>
        <w:numPr>
          <w:ilvl w:val="0"/>
          <w:numId w:val="14"/>
        </w:numPr>
        <w:pBdr>
          <w:top w:val="nil"/>
          <w:left w:val="nil"/>
          <w:bottom w:val="nil"/>
          <w:right w:val="nil"/>
          <w:between w:val="nil"/>
        </w:pBdr>
        <w:jc w:val="both"/>
      </w:pPr>
      <w:r w:rsidRPr="007D7DD1">
        <w:t>providing first aid</w:t>
      </w:r>
    </w:p>
    <w:p w14:paraId="48087614" w14:textId="77777777" w:rsidR="007D7DD1" w:rsidRPr="007D7DD1" w:rsidRDefault="007D7DD1" w:rsidP="007D7DD1">
      <w:pPr>
        <w:numPr>
          <w:ilvl w:val="0"/>
          <w:numId w:val="14"/>
        </w:numPr>
        <w:pBdr>
          <w:top w:val="nil"/>
          <w:left w:val="nil"/>
          <w:bottom w:val="nil"/>
          <w:right w:val="nil"/>
          <w:between w:val="nil"/>
        </w:pBdr>
        <w:jc w:val="both"/>
      </w:pPr>
      <w:r w:rsidRPr="007D7DD1">
        <w:t>drug and substance misuse</w:t>
      </w:r>
    </w:p>
    <w:p w14:paraId="07A6C113" w14:textId="77777777" w:rsidR="007D7DD1" w:rsidRPr="007D7DD1" w:rsidRDefault="007D7DD1" w:rsidP="007D7DD1">
      <w:pPr>
        <w:numPr>
          <w:ilvl w:val="0"/>
          <w:numId w:val="14"/>
        </w:numPr>
        <w:pBdr>
          <w:top w:val="nil"/>
          <w:left w:val="nil"/>
          <w:bottom w:val="nil"/>
          <w:right w:val="nil"/>
          <w:between w:val="nil"/>
        </w:pBdr>
        <w:jc w:val="both"/>
      </w:pPr>
      <w:r w:rsidRPr="007D7DD1">
        <w:t>internet safety</w:t>
      </w:r>
    </w:p>
    <w:p w14:paraId="2349A748" w14:textId="77777777" w:rsidR="007D7DD1" w:rsidRPr="007D7DD1" w:rsidRDefault="007D7DD1" w:rsidP="007D7DD1">
      <w:pPr>
        <w:numPr>
          <w:ilvl w:val="0"/>
          <w:numId w:val="14"/>
        </w:numPr>
        <w:pBdr>
          <w:top w:val="nil"/>
          <w:left w:val="nil"/>
          <w:bottom w:val="nil"/>
          <w:right w:val="nil"/>
          <w:between w:val="nil"/>
        </w:pBdr>
        <w:spacing w:after="120"/>
        <w:jc w:val="both"/>
      </w:pPr>
      <w:r w:rsidRPr="007D7DD1">
        <w:t>training environment security</w:t>
      </w:r>
    </w:p>
    <w:p w14:paraId="69AE18AF" w14:textId="5119A61C" w:rsidR="00344860" w:rsidRDefault="007D7DD1" w:rsidP="001157FB">
      <w:pPr>
        <w:pStyle w:val="Heading2"/>
      </w:pPr>
      <w:bookmarkStart w:id="5" w:name="_Toc114157196"/>
      <w:r>
        <w:t>Guidelines</w:t>
      </w:r>
      <w:bookmarkEnd w:id="5"/>
    </w:p>
    <w:p w14:paraId="08C15AA5" w14:textId="4BCCCC00" w:rsidR="0001361B" w:rsidRPr="0001361B" w:rsidRDefault="0001361B" w:rsidP="0001361B">
      <w:pPr>
        <w:jc w:val="both"/>
      </w:pPr>
      <w:r w:rsidRPr="0001361B">
        <w:t>Emphasis is placed on learners’ views about if they feel safe in</w:t>
      </w:r>
      <w:r>
        <w:t xml:space="preserve"> the</w:t>
      </w:r>
      <w:r w:rsidRPr="0001361B">
        <w:t xml:space="preserve"> training environment, gathered from informal discussion and formal processes, such as feedback or evaluation forms. The responsibility for safeguarding extends beyond the boundaries of the training environment where learners are engaging in the training provision.  Safeguarding concerns the effectiveness of providing sufficient resources and </w:t>
      </w:r>
      <w:r w:rsidRPr="0001361B">
        <w:lastRenderedPageBreak/>
        <w:t>support to promote the safety and health of all learners.</w:t>
      </w:r>
    </w:p>
    <w:p w14:paraId="7CBF1DEA" w14:textId="77777777" w:rsidR="0001361B" w:rsidRPr="0001361B" w:rsidRDefault="0001361B" w:rsidP="0001361B">
      <w:pPr>
        <w:jc w:val="both"/>
      </w:pPr>
    </w:p>
    <w:p w14:paraId="3DB4EC60" w14:textId="010CE607" w:rsidR="0001361B" w:rsidRPr="0001361B" w:rsidRDefault="0001361B" w:rsidP="0001361B">
      <w:pPr>
        <w:jc w:val="both"/>
      </w:pPr>
      <w:r w:rsidRPr="0001361B">
        <w:t xml:space="preserve">The </w:t>
      </w:r>
      <w:r>
        <w:t>Centre</w:t>
      </w:r>
      <w:r w:rsidRPr="0001361B">
        <w:t xml:space="preserve"> is accountable for ensuring the safeguar</w:t>
      </w:r>
      <w:r>
        <w:t>ding</w:t>
      </w:r>
      <w:r w:rsidRPr="0001361B">
        <w:t xml:space="preserve"> and protection of</w:t>
      </w:r>
      <w:r>
        <w:t xml:space="preserve"> </w:t>
      </w:r>
      <w:r w:rsidRPr="0001361B">
        <w:t>children</w:t>
      </w:r>
      <w:r>
        <w:t xml:space="preserve">, </w:t>
      </w:r>
      <w:r w:rsidRPr="0001361B">
        <w:t xml:space="preserve">young people and vulnerable adults, and </w:t>
      </w:r>
      <w:r>
        <w:t>agrees to comply</w:t>
      </w:r>
      <w:r w:rsidRPr="0001361B">
        <w:t xml:space="preserve"> with current legislation.  </w:t>
      </w:r>
      <w:r w:rsidR="000A78D1">
        <w:t xml:space="preserve">Centre </w:t>
      </w:r>
      <w:r w:rsidRPr="0001361B">
        <w:t xml:space="preserve">Managers and </w:t>
      </w:r>
      <w:r w:rsidR="000A78D1">
        <w:t>Staff</w:t>
      </w:r>
      <w:r w:rsidRPr="0001361B">
        <w:t xml:space="preserve"> are clear about their statutory requirements regarding safeguarding and the steps they are taking to develop good practice beyond the statutory minimum</w:t>
      </w:r>
      <w:r w:rsidR="000A78D1">
        <w:t>.</w:t>
      </w:r>
      <w:r w:rsidRPr="0001361B">
        <w:t xml:space="preserve"> Specified recruitment and vetting checks on intended new employees, particularly identity, CRB</w:t>
      </w:r>
      <w:r w:rsidR="000A78D1">
        <w:t>/SCRO</w:t>
      </w:r>
      <w:r w:rsidRPr="0001361B">
        <w:t xml:space="preserve"> and qualification checks are carried out. </w:t>
      </w:r>
    </w:p>
    <w:p w14:paraId="19B40558" w14:textId="77777777" w:rsidR="0001361B" w:rsidRPr="0001361B" w:rsidRDefault="0001361B" w:rsidP="0001361B">
      <w:pPr>
        <w:jc w:val="both"/>
      </w:pPr>
      <w:r w:rsidRPr="0001361B">
        <w:t xml:space="preserve">All staff understand that safeguarding is everybody’s responsibility and know who to contact if they are concerned about a child or young person. They understand their responsibilities in order to achieve positive outcomes, keep children and young people safe, and where appropriate or necessary, complement the support that other professionals may be providing.  </w:t>
      </w:r>
    </w:p>
    <w:p w14:paraId="2A3DB558" w14:textId="77777777" w:rsidR="0001361B" w:rsidRPr="0001361B" w:rsidRDefault="0001361B" w:rsidP="0001361B">
      <w:pPr>
        <w:jc w:val="both"/>
      </w:pPr>
    </w:p>
    <w:p w14:paraId="1C62C989" w14:textId="6FF059C3" w:rsidR="0001361B" w:rsidRPr="0001361B" w:rsidRDefault="0001361B" w:rsidP="0001361B">
      <w:pPr>
        <w:jc w:val="both"/>
      </w:pPr>
      <w:r w:rsidRPr="0001361B">
        <w:t xml:space="preserve">Learners are aware of how they can keep themselves safe and what behaviour towards them is not acceptable. They recognise when pressure from others (including people they know) threatens their personal safety and well-being and are helped to develop effective ways of resisting pressure, including knowing when and where to get help.  </w:t>
      </w:r>
    </w:p>
    <w:p w14:paraId="550BE263" w14:textId="35413135" w:rsidR="006963D7" w:rsidRPr="0001361B" w:rsidRDefault="000A78D1" w:rsidP="00A815A0">
      <w:pPr>
        <w:pStyle w:val="Heading2"/>
      </w:pPr>
      <w:bookmarkStart w:id="6" w:name="_Toc114157197"/>
      <w:r>
        <w:t>Reducing risk</w:t>
      </w:r>
      <w:bookmarkEnd w:id="6"/>
    </w:p>
    <w:p w14:paraId="19A4F9A3" w14:textId="5599F9DC" w:rsidR="00CE0596" w:rsidRPr="00CE0596" w:rsidRDefault="002B2535" w:rsidP="00CE0596">
      <w:pPr>
        <w:jc w:val="both"/>
      </w:pPr>
      <w:r w:rsidRPr="002B2535">
        <w:t>Artisan Hair Academy</w:t>
      </w:r>
      <w:r w:rsidR="00CE0596" w:rsidRPr="00CE0596">
        <w:t xml:space="preserve"> will monitor the young person and vulnerable adults particularly if they are at an off-site provision or are in a work-based learning environment by ensuring that:</w:t>
      </w:r>
    </w:p>
    <w:p w14:paraId="6909A4E6" w14:textId="77777777" w:rsidR="00CE0596" w:rsidRPr="00CE0596" w:rsidRDefault="00CE0596" w:rsidP="00CE0596">
      <w:pPr>
        <w:jc w:val="both"/>
      </w:pPr>
    </w:p>
    <w:p w14:paraId="3207FEB8" w14:textId="77777777" w:rsidR="00CE0596" w:rsidRPr="00CE0596" w:rsidRDefault="00CE0596" w:rsidP="00CE0596">
      <w:pPr>
        <w:numPr>
          <w:ilvl w:val="0"/>
          <w:numId w:val="17"/>
        </w:numPr>
        <w:pBdr>
          <w:top w:val="nil"/>
          <w:left w:val="nil"/>
          <w:bottom w:val="nil"/>
          <w:right w:val="nil"/>
          <w:between w:val="nil"/>
        </w:pBdr>
        <w:spacing w:before="120"/>
        <w:jc w:val="both"/>
      </w:pPr>
      <w:r w:rsidRPr="00CE0596">
        <w:t xml:space="preserve">Whether operations manager responsible for safeguarding all learners; </w:t>
      </w:r>
    </w:p>
    <w:p w14:paraId="77C3B9A6" w14:textId="36DDBD0A" w:rsidR="00CE0596" w:rsidRPr="00CE0596" w:rsidRDefault="00CE0596" w:rsidP="00CE0596">
      <w:pPr>
        <w:numPr>
          <w:ilvl w:val="0"/>
          <w:numId w:val="17"/>
        </w:numPr>
        <w:pBdr>
          <w:top w:val="nil"/>
          <w:left w:val="nil"/>
          <w:bottom w:val="nil"/>
          <w:right w:val="nil"/>
          <w:between w:val="nil"/>
        </w:pBdr>
        <w:jc w:val="both"/>
      </w:pPr>
      <w:r w:rsidRPr="00CE0596">
        <w:t>There is a clear reporting system if a learner, member of staff, parent</w:t>
      </w:r>
      <w:r>
        <w:t>, guardian, carer</w:t>
      </w:r>
      <w:r w:rsidRPr="00CE0596">
        <w:t xml:space="preserve"> or other person has concerns about the safety of the child or young person and vulnerable adults;</w:t>
      </w:r>
    </w:p>
    <w:p w14:paraId="2AB60938" w14:textId="77777777" w:rsidR="00CE0596" w:rsidRPr="00CE0596" w:rsidRDefault="00CE0596" w:rsidP="00CE0596">
      <w:pPr>
        <w:numPr>
          <w:ilvl w:val="0"/>
          <w:numId w:val="17"/>
        </w:numPr>
        <w:pBdr>
          <w:top w:val="nil"/>
          <w:left w:val="nil"/>
          <w:bottom w:val="nil"/>
          <w:right w:val="nil"/>
          <w:between w:val="nil"/>
        </w:pBdr>
        <w:jc w:val="both"/>
      </w:pPr>
      <w:r w:rsidRPr="00CE0596">
        <w:t>There are effective and prompt systems for referring safeguarding concerns about learners to relevant agencies;</w:t>
      </w:r>
    </w:p>
    <w:p w14:paraId="248C832F" w14:textId="77777777" w:rsidR="00CE0596" w:rsidRPr="00CE0596" w:rsidRDefault="00CE0596" w:rsidP="00CE0596">
      <w:pPr>
        <w:numPr>
          <w:ilvl w:val="0"/>
          <w:numId w:val="17"/>
        </w:numPr>
        <w:pBdr>
          <w:top w:val="nil"/>
          <w:left w:val="nil"/>
          <w:bottom w:val="nil"/>
          <w:right w:val="nil"/>
          <w:between w:val="nil"/>
        </w:pBdr>
        <w:jc w:val="both"/>
      </w:pPr>
      <w:r w:rsidRPr="00CE0596">
        <w:t>Attendance is monitored and appropriate action taken as necessary, especially with regard to the more vulnerable child or young person and vulnerable adults;</w:t>
      </w:r>
    </w:p>
    <w:p w14:paraId="64821F7B" w14:textId="77777777" w:rsidR="00D47783" w:rsidRDefault="00CE0596" w:rsidP="00D47783">
      <w:pPr>
        <w:numPr>
          <w:ilvl w:val="0"/>
          <w:numId w:val="16"/>
        </w:numPr>
        <w:pBdr>
          <w:top w:val="nil"/>
          <w:left w:val="nil"/>
          <w:bottom w:val="nil"/>
          <w:right w:val="nil"/>
          <w:between w:val="nil"/>
        </w:pBdr>
        <w:spacing w:after="200"/>
        <w:jc w:val="both"/>
      </w:pPr>
      <w:r w:rsidRPr="00CE0596">
        <w:t>Risk assessments are carried out whenever appropriate, in line with the relevant guideli</w:t>
      </w:r>
      <w:r>
        <w:t>nes</w:t>
      </w:r>
    </w:p>
    <w:p w14:paraId="23F2F428" w14:textId="77777777" w:rsidR="00CE0596" w:rsidRDefault="00CE0596" w:rsidP="00CE0596">
      <w:pPr>
        <w:pBdr>
          <w:top w:val="nil"/>
          <w:left w:val="nil"/>
          <w:bottom w:val="nil"/>
          <w:right w:val="nil"/>
          <w:between w:val="nil"/>
        </w:pBdr>
        <w:spacing w:after="200"/>
        <w:jc w:val="both"/>
      </w:pPr>
    </w:p>
    <w:p w14:paraId="5CA1EB75" w14:textId="77777777" w:rsidR="00CE0596" w:rsidRDefault="00CE0596" w:rsidP="00CE0596">
      <w:pPr>
        <w:pBdr>
          <w:top w:val="nil"/>
          <w:left w:val="nil"/>
          <w:bottom w:val="nil"/>
          <w:right w:val="nil"/>
          <w:between w:val="nil"/>
        </w:pBdr>
        <w:spacing w:after="200"/>
        <w:jc w:val="both"/>
      </w:pPr>
    </w:p>
    <w:p w14:paraId="10F985BC" w14:textId="77777777" w:rsidR="007B6953" w:rsidRPr="0013775F" w:rsidRDefault="007B6953" w:rsidP="00CE0596">
      <w:pPr>
        <w:tabs>
          <w:tab w:val="left" w:pos="524"/>
          <w:tab w:val="left" w:pos="525"/>
        </w:tabs>
        <w:adjustRightInd/>
        <w:spacing w:before="247"/>
      </w:pPr>
    </w:p>
    <w:sectPr w:rsidR="007B6953" w:rsidRPr="0013775F">
      <w:headerReference w:type="default" r:id="rId11"/>
      <w:footerReference w:type="default" r:id="rId12"/>
      <w:pgSz w:w="11910" w:h="16840"/>
      <w:pgMar w:top="1340" w:right="1020" w:bottom="920" w:left="1020" w:header="0" w:footer="7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B868" w14:textId="77777777" w:rsidR="00647F3F" w:rsidRDefault="00647F3F">
      <w:r>
        <w:separator/>
      </w:r>
    </w:p>
  </w:endnote>
  <w:endnote w:type="continuationSeparator" w:id="0">
    <w:p w14:paraId="30C44A19" w14:textId="77777777" w:rsidR="00647F3F" w:rsidRDefault="00647F3F">
      <w:r>
        <w:continuationSeparator/>
      </w:r>
    </w:p>
  </w:endnote>
  <w:endnote w:type="continuationNotice" w:id="1">
    <w:p w14:paraId="4FF233A4" w14:textId="77777777" w:rsidR="00647F3F" w:rsidRDefault="00647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8D2" w14:textId="1FA23760" w:rsidR="00372BD1" w:rsidRPr="0009588F" w:rsidRDefault="00C3260F" w:rsidP="001D338C">
    <w:pPr>
      <w:pStyle w:val="Footer"/>
      <w:ind w:left="5760"/>
      <w:rPr>
        <w:sz w:val="18"/>
        <w:szCs w:val="18"/>
      </w:rPr>
    </w:pPr>
    <w:r w:rsidRPr="0009588F">
      <w:rPr>
        <w:rFonts w:ascii="Tahoma" w:hAnsi="Tahoma" w:cs="Tahoma"/>
        <w:sz w:val="18"/>
        <w:szCs w:val="18"/>
      </w:rPr>
      <w:t xml:space="preserve">      </w:t>
    </w:r>
    <w:r w:rsidR="00372BD1" w:rsidRPr="0009588F">
      <w:rPr>
        <w:rFonts w:ascii="Tahoma" w:hAnsi="Tahoma" w:cs="Tahoma"/>
        <w:sz w:val="18"/>
        <w:szCs w:val="18"/>
      </w:rPr>
      <w:t xml:space="preserve">                                          </w:t>
    </w:r>
    <w:sdt>
      <w:sdtPr>
        <w:rPr>
          <w:sz w:val="18"/>
          <w:szCs w:val="18"/>
        </w:rPr>
        <w:id w:val="65303373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372BD1" w:rsidRPr="0009588F">
              <w:rPr>
                <w:sz w:val="18"/>
                <w:szCs w:val="18"/>
              </w:rPr>
              <w:t xml:space="preserve">Page </w:t>
            </w:r>
            <w:r w:rsidR="00372BD1" w:rsidRPr="0009588F">
              <w:rPr>
                <w:b/>
                <w:bCs/>
                <w:sz w:val="18"/>
                <w:szCs w:val="18"/>
              </w:rPr>
              <w:fldChar w:fldCharType="begin"/>
            </w:r>
            <w:r w:rsidR="00372BD1" w:rsidRPr="0009588F">
              <w:rPr>
                <w:b/>
                <w:bCs/>
                <w:sz w:val="18"/>
                <w:szCs w:val="18"/>
              </w:rPr>
              <w:instrText xml:space="preserve"> PAGE </w:instrText>
            </w:r>
            <w:r w:rsidR="00372BD1" w:rsidRPr="0009588F">
              <w:rPr>
                <w:b/>
                <w:bCs/>
                <w:sz w:val="18"/>
                <w:szCs w:val="18"/>
              </w:rPr>
              <w:fldChar w:fldCharType="separate"/>
            </w:r>
            <w:r w:rsidR="00E63B6E" w:rsidRPr="0009588F">
              <w:rPr>
                <w:b/>
                <w:bCs/>
                <w:noProof/>
                <w:sz w:val="18"/>
                <w:szCs w:val="18"/>
              </w:rPr>
              <w:t>2</w:t>
            </w:r>
            <w:r w:rsidR="00372BD1" w:rsidRPr="0009588F">
              <w:rPr>
                <w:b/>
                <w:bCs/>
                <w:sz w:val="18"/>
                <w:szCs w:val="18"/>
              </w:rPr>
              <w:fldChar w:fldCharType="end"/>
            </w:r>
            <w:r w:rsidR="00372BD1" w:rsidRPr="0009588F">
              <w:rPr>
                <w:sz w:val="18"/>
                <w:szCs w:val="18"/>
              </w:rPr>
              <w:t xml:space="preserve"> of </w:t>
            </w:r>
            <w:r w:rsidR="00372BD1" w:rsidRPr="0009588F">
              <w:rPr>
                <w:b/>
                <w:bCs/>
                <w:sz w:val="18"/>
                <w:szCs w:val="18"/>
              </w:rPr>
              <w:fldChar w:fldCharType="begin"/>
            </w:r>
            <w:r w:rsidR="00372BD1" w:rsidRPr="0009588F">
              <w:rPr>
                <w:b/>
                <w:bCs/>
                <w:sz w:val="18"/>
                <w:szCs w:val="18"/>
              </w:rPr>
              <w:instrText xml:space="preserve"> NUMPAGES  </w:instrText>
            </w:r>
            <w:r w:rsidR="00372BD1" w:rsidRPr="0009588F">
              <w:rPr>
                <w:b/>
                <w:bCs/>
                <w:sz w:val="18"/>
                <w:szCs w:val="18"/>
              </w:rPr>
              <w:fldChar w:fldCharType="separate"/>
            </w:r>
            <w:r w:rsidR="00E63B6E" w:rsidRPr="0009588F">
              <w:rPr>
                <w:b/>
                <w:bCs/>
                <w:noProof/>
                <w:sz w:val="18"/>
                <w:szCs w:val="18"/>
              </w:rPr>
              <w:t>8</w:t>
            </w:r>
            <w:r w:rsidR="00372BD1" w:rsidRPr="0009588F">
              <w:rPr>
                <w:b/>
                <w:bCs/>
                <w:sz w:val="18"/>
                <w:szCs w:val="18"/>
              </w:rPr>
              <w:fldChar w:fldCharType="end"/>
            </w:r>
          </w:sdtContent>
        </w:sdt>
      </w:sdtContent>
    </w:sdt>
  </w:p>
  <w:p w14:paraId="0967280C" w14:textId="59095FCF" w:rsidR="00550728" w:rsidRPr="0009588F" w:rsidRDefault="0009588F" w:rsidP="001D338C">
    <w:pPr>
      <w:pStyle w:val="BodyText"/>
      <w:kinsoku w:val="0"/>
      <w:overflowPunct w:val="0"/>
      <w:spacing w:line="14" w:lineRule="auto"/>
      <w:ind w:left="2160"/>
      <w:rPr>
        <w:rFonts w:ascii="Times New Roman" w:hAnsi="Times New Roman" w:cs="Times New Roman"/>
        <w:sz w:val="18"/>
        <w:szCs w:val="18"/>
      </w:rPr>
    </w:pP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9652" w14:textId="77777777" w:rsidR="00647F3F" w:rsidRDefault="00647F3F">
      <w:r>
        <w:separator/>
      </w:r>
    </w:p>
  </w:footnote>
  <w:footnote w:type="continuationSeparator" w:id="0">
    <w:p w14:paraId="5BF25667" w14:textId="77777777" w:rsidR="00647F3F" w:rsidRDefault="00647F3F">
      <w:r>
        <w:continuationSeparator/>
      </w:r>
    </w:p>
  </w:footnote>
  <w:footnote w:type="continuationNotice" w:id="1">
    <w:p w14:paraId="6F18BC90" w14:textId="77777777" w:rsidR="00647F3F" w:rsidRDefault="00647F3F"/>
  </w:footnote>
  <w:footnote w:id="2">
    <w:p w14:paraId="08ACABDB" w14:textId="77777777" w:rsidR="00642FD5" w:rsidRDefault="00642FD5" w:rsidP="00642FD5">
      <w:pPr>
        <w:pBdr>
          <w:top w:val="nil"/>
          <w:left w:val="nil"/>
          <w:bottom w:val="nil"/>
          <w:right w:val="nil"/>
          <w:between w:val="nil"/>
        </w:pBdr>
        <w:rPr>
          <w:rFonts w:ascii="Calibri" w:eastAsia="Calibri" w:hAnsi="Calibri" w:cs="Calibri"/>
        </w:rPr>
      </w:pPr>
      <w:r>
        <w:rPr>
          <w:vertAlign w:val="superscript"/>
        </w:rPr>
        <w:footnoteRef/>
      </w:r>
      <w:r>
        <w:rPr>
          <w:rFonts w:ascii="Calibri" w:eastAsia="Calibri" w:hAnsi="Calibri" w:cs="Calibri"/>
        </w:rPr>
        <w:t xml:space="preserve"> The Children Act 2004 refers to children, in certain circumstances as being under the age of 18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2D11" w14:textId="3C565242" w:rsidR="00161B57" w:rsidRPr="00BF144A" w:rsidRDefault="00BF144A" w:rsidP="00161B57">
    <w:pPr>
      <w:pStyle w:val="Header"/>
      <w:rPr>
        <w:noProof/>
      </w:rPr>
    </w:pPr>
    <w:r>
      <w:rPr>
        <w:noProof/>
      </w:rPr>
      <w:drawing>
        <wp:anchor distT="0" distB="0" distL="114300" distR="114300" simplePos="0" relativeHeight="251659264" behindDoc="0" locked="0" layoutInCell="1" allowOverlap="1" wp14:anchorId="4EEF0691" wp14:editId="4CCC5319">
          <wp:simplePos x="0" y="0"/>
          <wp:positionH relativeFrom="column">
            <wp:posOffset>635</wp:posOffset>
          </wp:positionH>
          <wp:positionV relativeFrom="paragraph">
            <wp:posOffset>161925</wp:posOffset>
          </wp:positionV>
          <wp:extent cx="1496695" cy="1496695"/>
          <wp:effectExtent l="0" t="0" r="190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496695" cy="1496695"/>
                  </a:xfrm>
                  <a:prstGeom prst="rect">
                    <a:avLst/>
                  </a:prstGeom>
                </pic:spPr>
              </pic:pic>
            </a:graphicData>
          </a:graphic>
          <wp14:sizeRelH relativeFrom="margin">
            <wp14:pctWidth>0</wp14:pctWidth>
          </wp14:sizeRelH>
          <wp14:sizeRelV relativeFrom="margin">
            <wp14:pctHeight>0</wp14:pctHeight>
          </wp14:sizeRelV>
        </wp:anchor>
      </w:drawing>
    </w:r>
    <w:r w:rsidR="003F61C3" w:rsidRPr="00B275B2">
      <w:rPr>
        <w:rFonts w:ascii="Tahoma" w:hAnsi="Tahoma" w:cs="Tahoma"/>
        <w:sz w:val="48"/>
        <w:szCs w:val="48"/>
      </w:rPr>
      <w:tab/>
      <w:t xml:space="preserve">       </w:t>
    </w:r>
  </w:p>
  <w:p w14:paraId="3E0D8922" w14:textId="11829E86" w:rsidR="003F61C3" w:rsidRPr="003F61C3" w:rsidRDefault="003F61C3" w:rsidP="00161B5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5" w:hanging="360"/>
      </w:pPr>
      <w:rPr>
        <w:rFonts w:ascii="Symbol" w:hAnsi="Symbol" w:cs="Symbol"/>
        <w:b w:val="0"/>
        <w:bCs w:val="0"/>
        <w:w w:val="100"/>
        <w:sz w:val="22"/>
        <w:szCs w:val="22"/>
      </w:rPr>
    </w:lvl>
    <w:lvl w:ilvl="1">
      <w:numFmt w:val="bullet"/>
      <w:lvlText w:val="•"/>
      <w:lvlJc w:val="left"/>
      <w:pPr>
        <w:ind w:left="1784" w:hanging="360"/>
      </w:pPr>
    </w:lvl>
    <w:lvl w:ilvl="2">
      <w:numFmt w:val="bullet"/>
      <w:lvlText w:val="•"/>
      <w:lvlJc w:val="left"/>
      <w:pPr>
        <w:ind w:left="2687" w:hanging="360"/>
      </w:pPr>
    </w:lvl>
    <w:lvl w:ilvl="3">
      <w:numFmt w:val="bullet"/>
      <w:lvlText w:val="•"/>
      <w:lvlJc w:val="left"/>
      <w:pPr>
        <w:ind w:left="3589" w:hanging="360"/>
      </w:pPr>
    </w:lvl>
    <w:lvl w:ilvl="4">
      <w:numFmt w:val="bullet"/>
      <w:lvlText w:val="•"/>
      <w:lvlJc w:val="left"/>
      <w:pPr>
        <w:ind w:left="4492" w:hanging="360"/>
      </w:pPr>
    </w:lvl>
    <w:lvl w:ilvl="5">
      <w:numFmt w:val="bullet"/>
      <w:lvlText w:val="•"/>
      <w:lvlJc w:val="left"/>
      <w:pPr>
        <w:ind w:left="5395" w:hanging="360"/>
      </w:pPr>
    </w:lvl>
    <w:lvl w:ilvl="6">
      <w:numFmt w:val="bullet"/>
      <w:lvlText w:val="•"/>
      <w:lvlJc w:val="left"/>
      <w:pPr>
        <w:ind w:left="6297" w:hanging="360"/>
      </w:pPr>
    </w:lvl>
    <w:lvl w:ilvl="7">
      <w:numFmt w:val="bullet"/>
      <w:lvlText w:val="•"/>
      <w:lvlJc w:val="left"/>
      <w:pPr>
        <w:ind w:left="7200" w:hanging="360"/>
      </w:pPr>
    </w:lvl>
    <w:lvl w:ilvl="8">
      <w:numFmt w:val="bullet"/>
      <w:lvlText w:val="•"/>
      <w:lvlJc w:val="left"/>
      <w:pPr>
        <w:ind w:left="8103" w:hanging="360"/>
      </w:pPr>
    </w:lvl>
  </w:abstractNum>
  <w:abstractNum w:abstractNumId="1" w15:restartNumberingAfterBreak="0">
    <w:nsid w:val="00000403"/>
    <w:multiLevelType w:val="multilevel"/>
    <w:tmpl w:val="00000886"/>
    <w:lvl w:ilvl="0">
      <w:start w:val="1"/>
      <w:numFmt w:val="lowerLetter"/>
      <w:lvlText w:val="(%1)"/>
      <w:lvlJc w:val="left"/>
      <w:pPr>
        <w:ind w:left="965" w:hanging="569"/>
      </w:pPr>
      <w:rPr>
        <w:b w:val="0"/>
        <w:bCs w:val="0"/>
        <w:w w:val="100"/>
        <w:sz w:val="22"/>
        <w:szCs w:val="22"/>
      </w:rPr>
    </w:lvl>
    <w:lvl w:ilvl="1">
      <w:numFmt w:val="bullet"/>
      <w:lvlText w:val="•"/>
      <w:lvlJc w:val="left"/>
      <w:pPr>
        <w:ind w:left="1850" w:hanging="569"/>
      </w:pPr>
    </w:lvl>
    <w:lvl w:ilvl="2">
      <w:numFmt w:val="bullet"/>
      <w:lvlText w:val="•"/>
      <w:lvlJc w:val="left"/>
      <w:pPr>
        <w:ind w:left="2741" w:hanging="569"/>
      </w:pPr>
    </w:lvl>
    <w:lvl w:ilvl="3">
      <w:numFmt w:val="bullet"/>
      <w:lvlText w:val="•"/>
      <w:lvlJc w:val="left"/>
      <w:pPr>
        <w:ind w:left="3631" w:hanging="569"/>
      </w:pPr>
    </w:lvl>
    <w:lvl w:ilvl="4">
      <w:numFmt w:val="bullet"/>
      <w:lvlText w:val="•"/>
      <w:lvlJc w:val="left"/>
      <w:pPr>
        <w:ind w:left="4522" w:hanging="569"/>
      </w:pPr>
    </w:lvl>
    <w:lvl w:ilvl="5">
      <w:numFmt w:val="bullet"/>
      <w:lvlText w:val="•"/>
      <w:lvlJc w:val="left"/>
      <w:pPr>
        <w:ind w:left="5413" w:hanging="569"/>
      </w:pPr>
    </w:lvl>
    <w:lvl w:ilvl="6">
      <w:numFmt w:val="bullet"/>
      <w:lvlText w:val="•"/>
      <w:lvlJc w:val="left"/>
      <w:pPr>
        <w:ind w:left="6303" w:hanging="569"/>
      </w:pPr>
    </w:lvl>
    <w:lvl w:ilvl="7">
      <w:numFmt w:val="bullet"/>
      <w:lvlText w:val="•"/>
      <w:lvlJc w:val="left"/>
      <w:pPr>
        <w:ind w:left="7194" w:hanging="569"/>
      </w:pPr>
    </w:lvl>
    <w:lvl w:ilvl="8">
      <w:numFmt w:val="bullet"/>
      <w:lvlText w:val="•"/>
      <w:lvlJc w:val="left"/>
      <w:pPr>
        <w:ind w:left="8085" w:hanging="569"/>
      </w:pPr>
    </w:lvl>
  </w:abstractNum>
  <w:abstractNum w:abstractNumId="2" w15:restartNumberingAfterBreak="0">
    <w:nsid w:val="049E5037"/>
    <w:multiLevelType w:val="hybridMultilevel"/>
    <w:tmpl w:val="0C2C6EB0"/>
    <w:lvl w:ilvl="0" w:tplc="FFFFFFFF">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 w15:restartNumberingAfterBreak="0">
    <w:nsid w:val="0AF32AD7"/>
    <w:multiLevelType w:val="hybridMultilevel"/>
    <w:tmpl w:val="7982FF6C"/>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4" w15:restartNumberingAfterBreak="0">
    <w:nsid w:val="12480BE8"/>
    <w:multiLevelType w:val="hybridMultilevel"/>
    <w:tmpl w:val="00BA2E28"/>
    <w:lvl w:ilvl="0" w:tplc="0C74175A">
      <w:numFmt w:val="bullet"/>
      <w:lvlText w:val=""/>
      <w:lvlJc w:val="left"/>
      <w:pPr>
        <w:ind w:left="524" w:hanging="425"/>
      </w:pPr>
      <w:rPr>
        <w:rFonts w:ascii="Symbol" w:eastAsia="Symbol" w:hAnsi="Symbol" w:cs="Symbol" w:hint="default"/>
        <w:w w:val="100"/>
        <w:sz w:val="22"/>
        <w:szCs w:val="22"/>
        <w:lang w:val="en-US" w:eastAsia="en-US" w:bidi="en-US"/>
      </w:rPr>
    </w:lvl>
    <w:lvl w:ilvl="1" w:tplc="5DFE6326">
      <w:numFmt w:val="bullet"/>
      <w:lvlText w:val="•"/>
      <w:lvlJc w:val="left"/>
      <w:pPr>
        <w:ind w:left="1536" w:hanging="425"/>
      </w:pPr>
      <w:rPr>
        <w:rFonts w:hint="default"/>
        <w:lang w:val="en-US" w:eastAsia="en-US" w:bidi="en-US"/>
      </w:rPr>
    </w:lvl>
    <w:lvl w:ilvl="2" w:tplc="42120472">
      <w:numFmt w:val="bullet"/>
      <w:lvlText w:val="•"/>
      <w:lvlJc w:val="left"/>
      <w:pPr>
        <w:ind w:left="2553" w:hanging="425"/>
      </w:pPr>
      <w:rPr>
        <w:rFonts w:hint="default"/>
        <w:lang w:val="en-US" w:eastAsia="en-US" w:bidi="en-US"/>
      </w:rPr>
    </w:lvl>
    <w:lvl w:ilvl="3" w:tplc="DFA42D38">
      <w:numFmt w:val="bullet"/>
      <w:lvlText w:val="•"/>
      <w:lvlJc w:val="left"/>
      <w:pPr>
        <w:ind w:left="3569" w:hanging="425"/>
      </w:pPr>
      <w:rPr>
        <w:rFonts w:hint="default"/>
        <w:lang w:val="en-US" w:eastAsia="en-US" w:bidi="en-US"/>
      </w:rPr>
    </w:lvl>
    <w:lvl w:ilvl="4" w:tplc="1B9A267E">
      <w:numFmt w:val="bullet"/>
      <w:lvlText w:val="•"/>
      <w:lvlJc w:val="left"/>
      <w:pPr>
        <w:ind w:left="4586" w:hanging="425"/>
      </w:pPr>
      <w:rPr>
        <w:rFonts w:hint="default"/>
        <w:lang w:val="en-US" w:eastAsia="en-US" w:bidi="en-US"/>
      </w:rPr>
    </w:lvl>
    <w:lvl w:ilvl="5" w:tplc="07F82742">
      <w:numFmt w:val="bullet"/>
      <w:lvlText w:val="•"/>
      <w:lvlJc w:val="left"/>
      <w:pPr>
        <w:ind w:left="5603" w:hanging="425"/>
      </w:pPr>
      <w:rPr>
        <w:rFonts w:hint="default"/>
        <w:lang w:val="en-US" w:eastAsia="en-US" w:bidi="en-US"/>
      </w:rPr>
    </w:lvl>
    <w:lvl w:ilvl="6" w:tplc="6CD25528">
      <w:numFmt w:val="bullet"/>
      <w:lvlText w:val="•"/>
      <w:lvlJc w:val="left"/>
      <w:pPr>
        <w:ind w:left="6619" w:hanging="425"/>
      </w:pPr>
      <w:rPr>
        <w:rFonts w:hint="default"/>
        <w:lang w:val="en-US" w:eastAsia="en-US" w:bidi="en-US"/>
      </w:rPr>
    </w:lvl>
    <w:lvl w:ilvl="7" w:tplc="7B1E9DC2">
      <w:numFmt w:val="bullet"/>
      <w:lvlText w:val="•"/>
      <w:lvlJc w:val="left"/>
      <w:pPr>
        <w:ind w:left="7636" w:hanging="425"/>
      </w:pPr>
      <w:rPr>
        <w:rFonts w:hint="default"/>
        <w:lang w:val="en-US" w:eastAsia="en-US" w:bidi="en-US"/>
      </w:rPr>
    </w:lvl>
    <w:lvl w:ilvl="8" w:tplc="823EFC92">
      <w:numFmt w:val="bullet"/>
      <w:lvlText w:val="•"/>
      <w:lvlJc w:val="left"/>
      <w:pPr>
        <w:ind w:left="8653" w:hanging="425"/>
      </w:pPr>
      <w:rPr>
        <w:rFonts w:hint="default"/>
        <w:lang w:val="en-US" w:eastAsia="en-US" w:bidi="en-US"/>
      </w:rPr>
    </w:lvl>
  </w:abstractNum>
  <w:abstractNum w:abstractNumId="5" w15:restartNumberingAfterBreak="0">
    <w:nsid w:val="21EE4EB6"/>
    <w:multiLevelType w:val="hybridMultilevel"/>
    <w:tmpl w:val="3724D6E0"/>
    <w:lvl w:ilvl="0" w:tplc="84F2E238">
      <w:start w:val="1"/>
      <w:numFmt w:val="decimal"/>
      <w:lvlText w:val="%1."/>
      <w:lvlJc w:val="left"/>
      <w:pPr>
        <w:tabs>
          <w:tab w:val="num" w:pos="1961"/>
        </w:tabs>
        <w:ind w:left="1961" w:hanging="870"/>
      </w:pPr>
      <w:rPr>
        <w:rFonts w:hint="default"/>
      </w:rPr>
    </w:lvl>
    <w:lvl w:ilvl="1" w:tplc="04090019">
      <w:start w:val="1"/>
      <w:numFmt w:val="lowerLetter"/>
      <w:lvlText w:val="%2."/>
      <w:lvlJc w:val="left"/>
      <w:pPr>
        <w:tabs>
          <w:tab w:val="num" w:pos="2171"/>
        </w:tabs>
        <w:ind w:left="2171" w:hanging="360"/>
      </w:pPr>
    </w:lvl>
    <w:lvl w:ilvl="2" w:tplc="0409001B">
      <w:start w:val="1"/>
      <w:numFmt w:val="lowerRoman"/>
      <w:lvlText w:val="%3."/>
      <w:lvlJc w:val="right"/>
      <w:pPr>
        <w:tabs>
          <w:tab w:val="num" w:pos="2891"/>
        </w:tabs>
        <w:ind w:left="2891" w:hanging="180"/>
      </w:pPr>
    </w:lvl>
    <w:lvl w:ilvl="3" w:tplc="0409000F">
      <w:start w:val="1"/>
      <w:numFmt w:val="decimal"/>
      <w:lvlText w:val="%4."/>
      <w:lvlJc w:val="left"/>
      <w:pPr>
        <w:tabs>
          <w:tab w:val="num" w:pos="3611"/>
        </w:tabs>
        <w:ind w:left="3611" w:hanging="360"/>
      </w:pPr>
    </w:lvl>
    <w:lvl w:ilvl="4" w:tplc="04090019">
      <w:start w:val="1"/>
      <w:numFmt w:val="lowerLetter"/>
      <w:lvlText w:val="%5."/>
      <w:lvlJc w:val="left"/>
      <w:pPr>
        <w:tabs>
          <w:tab w:val="num" w:pos="4331"/>
        </w:tabs>
        <w:ind w:left="4331" w:hanging="360"/>
      </w:pPr>
    </w:lvl>
    <w:lvl w:ilvl="5" w:tplc="0409001B">
      <w:start w:val="1"/>
      <w:numFmt w:val="lowerRoman"/>
      <w:lvlText w:val="%6."/>
      <w:lvlJc w:val="right"/>
      <w:pPr>
        <w:tabs>
          <w:tab w:val="num" w:pos="5051"/>
        </w:tabs>
        <w:ind w:left="5051" w:hanging="180"/>
      </w:pPr>
    </w:lvl>
    <w:lvl w:ilvl="6" w:tplc="0409000F">
      <w:start w:val="1"/>
      <w:numFmt w:val="decimal"/>
      <w:lvlText w:val="%7."/>
      <w:lvlJc w:val="left"/>
      <w:pPr>
        <w:tabs>
          <w:tab w:val="num" w:pos="5771"/>
        </w:tabs>
        <w:ind w:left="5771" w:hanging="360"/>
      </w:pPr>
    </w:lvl>
    <w:lvl w:ilvl="7" w:tplc="04090019">
      <w:start w:val="1"/>
      <w:numFmt w:val="lowerLetter"/>
      <w:lvlText w:val="%8."/>
      <w:lvlJc w:val="left"/>
      <w:pPr>
        <w:tabs>
          <w:tab w:val="num" w:pos="6491"/>
        </w:tabs>
        <w:ind w:left="6491" w:hanging="360"/>
      </w:pPr>
    </w:lvl>
    <w:lvl w:ilvl="8" w:tplc="0409001B">
      <w:start w:val="1"/>
      <w:numFmt w:val="lowerRoman"/>
      <w:lvlText w:val="%9."/>
      <w:lvlJc w:val="right"/>
      <w:pPr>
        <w:tabs>
          <w:tab w:val="num" w:pos="7211"/>
        </w:tabs>
        <w:ind w:left="7211" w:hanging="180"/>
      </w:pPr>
    </w:lvl>
  </w:abstractNum>
  <w:abstractNum w:abstractNumId="6" w15:restartNumberingAfterBreak="0">
    <w:nsid w:val="290E4481"/>
    <w:multiLevelType w:val="multilevel"/>
    <w:tmpl w:val="A12696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A16E09"/>
    <w:multiLevelType w:val="multilevel"/>
    <w:tmpl w:val="1FC2A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1D0956"/>
    <w:multiLevelType w:val="hybridMultilevel"/>
    <w:tmpl w:val="A13CEA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26FE8"/>
    <w:multiLevelType w:val="hybridMultilevel"/>
    <w:tmpl w:val="AA503578"/>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0" w15:restartNumberingAfterBreak="0">
    <w:nsid w:val="4C1D29C9"/>
    <w:multiLevelType w:val="hybridMultilevel"/>
    <w:tmpl w:val="7D3E1EC4"/>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1" w15:restartNumberingAfterBreak="0">
    <w:nsid w:val="536A3E89"/>
    <w:multiLevelType w:val="multilevel"/>
    <w:tmpl w:val="81900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B22077"/>
    <w:multiLevelType w:val="hybridMultilevel"/>
    <w:tmpl w:val="8D92B0C4"/>
    <w:lvl w:ilvl="0" w:tplc="62A25170">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6ACA0F60"/>
    <w:multiLevelType w:val="hybridMultilevel"/>
    <w:tmpl w:val="3344371C"/>
    <w:lvl w:ilvl="0" w:tplc="92928D4A">
      <w:start w:val="1"/>
      <w:numFmt w:val="bullet"/>
      <w:lvlText w:val=""/>
      <w:lvlJc w:val="left"/>
      <w:pPr>
        <w:ind w:left="720" w:hanging="360"/>
      </w:pPr>
      <w:rPr>
        <w:rFonts w:ascii="Symbol" w:hAnsi="Symbol" w:hint="default"/>
      </w:rPr>
    </w:lvl>
    <w:lvl w:ilvl="1" w:tplc="D3063A50">
      <w:start w:val="1"/>
      <w:numFmt w:val="bullet"/>
      <w:lvlText w:val="o"/>
      <w:lvlJc w:val="left"/>
      <w:pPr>
        <w:ind w:left="1440" w:hanging="360"/>
      </w:pPr>
      <w:rPr>
        <w:rFonts w:ascii="Courier New" w:hAnsi="Courier New" w:hint="default"/>
      </w:rPr>
    </w:lvl>
    <w:lvl w:ilvl="2" w:tplc="76AC0958">
      <w:start w:val="1"/>
      <w:numFmt w:val="bullet"/>
      <w:lvlText w:val=""/>
      <w:lvlJc w:val="left"/>
      <w:pPr>
        <w:ind w:left="2160" w:hanging="360"/>
      </w:pPr>
      <w:rPr>
        <w:rFonts w:ascii="Wingdings" w:hAnsi="Wingdings" w:hint="default"/>
      </w:rPr>
    </w:lvl>
    <w:lvl w:ilvl="3" w:tplc="CBF4CC04">
      <w:start w:val="1"/>
      <w:numFmt w:val="bullet"/>
      <w:lvlText w:val=""/>
      <w:lvlJc w:val="left"/>
      <w:pPr>
        <w:ind w:left="2880" w:hanging="360"/>
      </w:pPr>
      <w:rPr>
        <w:rFonts w:ascii="Symbol" w:hAnsi="Symbol" w:hint="default"/>
      </w:rPr>
    </w:lvl>
    <w:lvl w:ilvl="4" w:tplc="63D2C842">
      <w:start w:val="1"/>
      <w:numFmt w:val="bullet"/>
      <w:lvlText w:val="o"/>
      <w:lvlJc w:val="left"/>
      <w:pPr>
        <w:ind w:left="3600" w:hanging="360"/>
      </w:pPr>
      <w:rPr>
        <w:rFonts w:ascii="Courier New" w:hAnsi="Courier New" w:hint="default"/>
      </w:rPr>
    </w:lvl>
    <w:lvl w:ilvl="5" w:tplc="03CAC3C6">
      <w:start w:val="1"/>
      <w:numFmt w:val="bullet"/>
      <w:lvlText w:val=""/>
      <w:lvlJc w:val="left"/>
      <w:pPr>
        <w:ind w:left="4320" w:hanging="360"/>
      </w:pPr>
      <w:rPr>
        <w:rFonts w:ascii="Wingdings" w:hAnsi="Wingdings" w:hint="default"/>
      </w:rPr>
    </w:lvl>
    <w:lvl w:ilvl="6" w:tplc="FEA46568">
      <w:start w:val="1"/>
      <w:numFmt w:val="bullet"/>
      <w:lvlText w:val=""/>
      <w:lvlJc w:val="left"/>
      <w:pPr>
        <w:ind w:left="5040" w:hanging="360"/>
      </w:pPr>
      <w:rPr>
        <w:rFonts w:ascii="Symbol" w:hAnsi="Symbol" w:hint="default"/>
      </w:rPr>
    </w:lvl>
    <w:lvl w:ilvl="7" w:tplc="AF34D7D8">
      <w:start w:val="1"/>
      <w:numFmt w:val="bullet"/>
      <w:lvlText w:val="o"/>
      <w:lvlJc w:val="left"/>
      <w:pPr>
        <w:ind w:left="5760" w:hanging="360"/>
      </w:pPr>
      <w:rPr>
        <w:rFonts w:ascii="Courier New" w:hAnsi="Courier New" w:hint="default"/>
      </w:rPr>
    </w:lvl>
    <w:lvl w:ilvl="8" w:tplc="0BAE538C">
      <w:start w:val="1"/>
      <w:numFmt w:val="bullet"/>
      <w:lvlText w:val=""/>
      <w:lvlJc w:val="left"/>
      <w:pPr>
        <w:ind w:left="6480" w:hanging="360"/>
      </w:pPr>
      <w:rPr>
        <w:rFonts w:ascii="Wingdings" w:hAnsi="Wingdings" w:hint="default"/>
      </w:rPr>
    </w:lvl>
  </w:abstractNum>
  <w:abstractNum w:abstractNumId="14" w15:restartNumberingAfterBreak="0">
    <w:nsid w:val="6FA85BAE"/>
    <w:multiLevelType w:val="multilevel"/>
    <w:tmpl w:val="C1AC8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6B637E"/>
    <w:multiLevelType w:val="multilevel"/>
    <w:tmpl w:val="6346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B73FBA"/>
    <w:multiLevelType w:val="hybridMultilevel"/>
    <w:tmpl w:val="2556B2FA"/>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num w:numId="1" w16cid:durableId="639187812">
    <w:abstractNumId w:val="13"/>
  </w:num>
  <w:num w:numId="2" w16cid:durableId="1738019188">
    <w:abstractNumId w:val="1"/>
  </w:num>
  <w:num w:numId="3" w16cid:durableId="2113431343">
    <w:abstractNumId w:val="0"/>
  </w:num>
  <w:num w:numId="4" w16cid:durableId="1922173747">
    <w:abstractNumId w:val="2"/>
  </w:num>
  <w:num w:numId="5" w16cid:durableId="233782300">
    <w:abstractNumId w:val="9"/>
  </w:num>
  <w:num w:numId="6" w16cid:durableId="1539120319">
    <w:abstractNumId w:val="10"/>
  </w:num>
  <w:num w:numId="7" w16cid:durableId="1108619680">
    <w:abstractNumId w:val="3"/>
  </w:num>
  <w:num w:numId="8" w16cid:durableId="1185632581">
    <w:abstractNumId w:val="16"/>
  </w:num>
  <w:num w:numId="9" w16cid:durableId="1581939226">
    <w:abstractNumId w:val="12"/>
  </w:num>
  <w:num w:numId="10" w16cid:durableId="504513165">
    <w:abstractNumId w:val="4"/>
  </w:num>
  <w:num w:numId="11" w16cid:durableId="896671030">
    <w:abstractNumId w:val="5"/>
  </w:num>
  <w:num w:numId="12" w16cid:durableId="1155341911">
    <w:abstractNumId w:val="8"/>
  </w:num>
  <w:num w:numId="13" w16cid:durableId="113908697">
    <w:abstractNumId w:val="14"/>
  </w:num>
  <w:num w:numId="14" w16cid:durableId="1182354317">
    <w:abstractNumId w:val="7"/>
  </w:num>
  <w:num w:numId="15" w16cid:durableId="934749223">
    <w:abstractNumId w:val="15"/>
  </w:num>
  <w:num w:numId="16" w16cid:durableId="850141001">
    <w:abstractNumId w:val="11"/>
  </w:num>
  <w:num w:numId="17" w16cid:durableId="1503355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D8"/>
    <w:rsid w:val="00006A96"/>
    <w:rsid w:val="0001361B"/>
    <w:rsid w:val="00013A95"/>
    <w:rsid w:val="00023315"/>
    <w:rsid w:val="000256C4"/>
    <w:rsid w:val="00027B41"/>
    <w:rsid w:val="0003313E"/>
    <w:rsid w:val="00037C60"/>
    <w:rsid w:val="000425A5"/>
    <w:rsid w:val="00046399"/>
    <w:rsid w:val="000470E2"/>
    <w:rsid w:val="0005115E"/>
    <w:rsid w:val="00055A0A"/>
    <w:rsid w:val="000659BB"/>
    <w:rsid w:val="00065E08"/>
    <w:rsid w:val="00066BEC"/>
    <w:rsid w:val="00071766"/>
    <w:rsid w:val="00072024"/>
    <w:rsid w:val="00073CC0"/>
    <w:rsid w:val="00085E19"/>
    <w:rsid w:val="0009588F"/>
    <w:rsid w:val="000A1FB8"/>
    <w:rsid w:val="000A2DB4"/>
    <w:rsid w:val="000A38B2"/>
    <w:rsid w:val="000A668F"/>
    <w:rsid w:val="000A78D1"/>
    <w:rsid w:val="000B5B73"/>
    <w:rsid w:val="000B5DCB"/>
    <w:rsid w:val="000C326E"/>
    <w:rsid w:val="000C450E"/>
    <w:rsid w:val="000C4A50"/>
    <w:rsid w:val="000D6E26"/>
    <w:rsid w:val="000E5705"/>
    <w:rsid w:val="000F2F4F"/>
    <w:rsid w:val="000F640A"/>
    <w:rsid w:val="000F7B0B"/>
    <w:rsid w:val="00100E81"/>
    <w:rsid w:val="0010313F"/>
    <w:rsid w:val="00105F79"/>
    <w:rsid w:val="001157FB"/>
    <w:rsid w:val="0013775F"/>
    <w:rsid w:val="00141B04"/>
    <w:rsid w:val="00147509"/>
    <w:rsid w:val="001535E0"/>
    <w:rsid w:val="00161B57"/>
    <w:rsid w:val="0016598B"/>
    <w:rsid w:val="001808B3"/>
    <w:rsid w:val="00183C05"/>
    <w:rsid w:val="0018572C"/>
    <w:rsid w:val="0018760C"/>
    <w:rsid w:val="00193C1E"/>
    <w:rsid w:val="00196834"/>
    <w:rsid w:val="001973E9"/>
    <w:rsid w:val="001A5E76"/>
    <w:rsid w:val="001A7908"/>
    <w:rsid w:val="001A7E16"/>
    <w:rsid w:val="001C309F"/>
    <w:rsid w:val="001C568E"/>
    <w:rsid w:val="001D338C"/>
    <w:rsid w:val="001D7714"/>
    <w:rsid w:val="001F672C"/>
    <w:rsid w:val="002056D2"/>
    <w:rsid w:val="0024782A"/>
    <w:rsid w:val="002655AC"/>
    <w:rsid w:val="00266146"/>
    <w:rsid w:val="00266A8F"/>
    <w:rsid w:val="00266A98"/>
    <w:rsid w:val="00266D4B"/>
    <w:rsid w:val="00280A7B"/>
    <w:rsid w:val="002820B8"/>
    <w:rsid w:val="00285558"/>
    <w:rsid w:val="00293735"/>
    <w:rsid w:val="002961B1"/>
    <w:rsid w:val="002A050B"/>
    <w:rsid w:val="002A1C4C"/>
    <w:rsid w:val="002A4812"/>
    <w:rsid w:val="002A5253"/>
    <w:rsid w:val="002B2535"/>
    <w:rsid w:val="002B74A4"/>
    <w:rsid w:val="002C1B77"/>
    <w:rsid w:val="002E48F9"/>
    <w:rsid w:val="003272B2"/>
    <w:rsid w:val="00333BEA"/>
    <w:rsid w:val="0034153E"/>
    <w:rsid w:val="00344860"/>
    <w:rsid w:val="0035733E"/>
    <w:rsid w:val="00357489"/>
    <w:rsid w:val="00361EEB"/>
    <w:rsid w:val="00363ED4"/>
    <w:rsid w:val="00372BD1"/>
    <w:rsid w:val="00384DB0"/>
    <w:rsid w:val="0039434A"/>
    <w:rsid w:val="00394F12"/>
    <w:rsid w:val="003C20B2"/>
    <w:rsid w:val="003C5E2A"/>
    <w:rsid w:val="003D2549"/>
    <w:rsid w:val="003D5BFF"/>
    <w:rsid w:val="003E4FD0"/>
    <w:rsid w:val="003F1E06"/>
    <w:rsid w:val="003F61C3"/>
    <w:rsid w:val="00406E68"/>
    <w:rsid w:val="004079CF"/>
    <w:rsid w:val="00434AB7"/>
    <w:rsid w:val="0043517E"/>
    <w:rsid w:val="00443698"/>
    <w:rsid w:val="0045620F"/>
    <w:rsid w:val="004637FC"/>
    <w:rsid w:val="00465F11"/>
    <w:rsid w:val="00466EC3"/>
    <w:rsid w:val="00491C8A"/>
    <w:rsid w:val="004969CC"/>
    <w:rsid w:val="00496C70"/>
    <w:rsid w:val="004A131F"/>
    <w:rsid w:val="004A2486"/>
    <w:rsid w:val="004C4A28"/>
    <w:rsid w:val="004D0971"/>
    <w:rsid w:val="004D13FE"/>
    <w:rsid w:val="004E3FDA"/>
    <w:rsid w:val="004F23D1"/>
    <w:rsid w:val="00502AD5"/>
    <w:rsid w:val="00511905"/>
    <w:rsid w:val="00526F6F"/>
    <w:rsid w:val="00527748"/>
    <w:rsid w:val="00530542"/>
    <w:rsid w:val="00550728"/>
    <w:rsid w:val="005560FF"/>
    <w:rsid w:val="00556B6C"/>
    <w:rsid w:val="00561EF7"/>
    <w:rsid w:val="005724AA"/>
    <w:rsid w:val="005739ED"/>
    <w:rsid w:val="00576BBB"/>
    <w:rsid w:val="005851DF"/>
    <w:rsid w:val="00585951"/>
    <w:rsid w:val="00595619"/>
    <w:rsid w:val="005A55CE"/>
    <w:rsid w:val="005A6F4E"/>
    <w:rsid w:val="005C2BD6"/>
    <w:rsid w:val="005C39FD"/>
    <w:rsid w:val="005C5C2B"/>
    <w:rsid w:val="005D12DC"/>
    <w:rsid w:val="005D2214"/>
    <w:rsid w:val="005D431B"/>
    <w:rsid w:val="005E4F70"/>
    <w:rsid w:val="005E51AB"/>
    <w:rsid w:val="005E5318"/>
    <w:rsid w:val="005F180D"/>
    <w:rsid w:val="006046C1"/>
    <w:rsid w:val="00607D35"/>
    <w:rsid w:val="0061336F"/>
    <w:rsid w:val="0061625C"/>
    <w:rsid w:val="00624A0C"/>
    <w:rsid w:val="00625FC3"/>
    <w:rsid w:val="006311E1"/>
    <w:rsid w:val="00642FD5"/>
    <w:rsid w:val="0064522E"/>
    <w:rsid w:val="006462D8"/>
    <w:rsid w:val="00647F3F"/>
    <w:rsid w:val="00654890"/>
    <w:rsid w:val="006549C4"/>
    <w:rsid w:val="006563BE"/>
    <w:rsid w:val="00661291"/>
    <w:rsid w:val="00664A29"/>
    <w:rsid w:val="006667C6"/>
    <w:rsid w:val="00671A63"/>
    <w:rsid w:val="006748CB"/>
    <w:rsid w:val="00684F89"/>
    <w:rsid w:val="006963D7"/>
    <w:rsid w:val="006A1679"/>
    <w:rsid w:val="006A46DA"/>
    <w:rsid w:val="006B6A75"/>
    <w:rsid w:val="006C37B1"/>
    <w:rsid w:val="006C55C1"/>
    <w:rsid w:val="006E087C"/>
    <w:rsid w:val="006E78D6"/>
    <w:rsid w:val="006F1C94"/>
    <w:rsid w:val="006F3DE7"/>
    <w:rsid w:val="006F77E3"/>
    <w:rsid w:val="00701435"/>
    <w:rsid w:val="0070ADFF"/>
    <w:rsid w:val="00722840"/>
    <w:rsid w:val="00733A5B"/>
    <w:rsid w:val="00744A65"/>
    <w:rsid w:val="00764222"/>
    <w:rsid w:val="00780CED"/>
    <w:rsid w:val="00790198"/>
    <w:rsid w:val="007905E6"/>
    <w:rsid w:val="00792252"/>
    <w:rsid w:val="0079734B"/>
    <w:rsid w:val="007B6953"/>
    <w:rsid w:val="007C0255"/>
    <w:rsid w:val="007C7075"/>
    <w:rsid w:val="007D7DD1"/>
    <w:rsid w:val="007E5102"/>
    <w:rsid w:val="007F33D5"/>
    <w:rsid w:val="007F7095"/>
    <w:rsid w:val="00804712"/>
    <w:rsid w:val="00813B34"/>
    <w:rsid w:val="00822478"/>
    <w:rsid w:val="00825A7D"/>
    <w:rsid w:val="00837D4C"/>
    <w:rsid w:val="00853BE4"/>
    <w:rsid w:val="00853DFE"/>
    <w:rsid w:val="00882862"/>
    <w:rsid w:val="0088782A"/>
    <w:rsid w:val="00887C6E"/>
    <w:rsid w:val="008A31A6"/>
    <w:rsid w:val="008A65D4"/>
    <w:rsid w:val="008A7F7F"/>
    <w:rsid w:val="008C7B72"/>
    <w:rsid w:val="008D4FD8"/>
    <w:rsid w:val="009117E5"/>
    <w:rsid w:val="00914841"/>
    <w:rsid w:val="00924A27"/>
    <w:rsid w:val="00934BAF"/>
    <w:rsid w:val="009415BD"/>
    <w:rsid w:val="009535F7"/>
    <w:rsid w:val="009536F4"/>
    <w:rsid w:val="0096361E"/>
    <w:rsid w:val="009670B7"/>
    <w:rsid w:val="0097024A"/>
    <w:rsid w:val="009723BA"/>
    <w:rsid w:val="0097687C"/>
    <w:rsid w:val="00977AF9"/>
    <w:rsid w:val="0098643B"/>
    <w:rsid w:val="00986F80"/>
    <w:rsid w:val="00991501"/>
    <w:rsid w:val="0099573A"/>
    <w:rsid w:val="009A0326"/>
    <w:rsid w:val="009A6F41"/>
    <w:rsid w:val="009B78F1"/>
    <w:rsid w:val="009C46C7"/>
    <w:rsid w:val="009D69F7"/>
    <w:rsid w:val="009D77A3"/>
    <w:rsid w:val="009E2278"/>
    <w:rsid w:val="009E521F"/>
    <w:rsid w:val="009E7E71"/>
    <w:rsid w:val="009F0970"/>
    <w:rsid w:val="00A02050"/>
    <w:rsid w:val="00A033F2"/>
    <w:rsid w:val="00A04056"/>
    <w:rsid w:val="00A12785"/>
    <w:rsid w:val="00A21E06"/>
    <w:rsid w:val="00A236DB"/>
    <w:rsid w:val="00A2517A"/>
    <w:rsid w:val="00A47E9B"/>
    <w:rsid w:val="00A530D8"/>
    <w:rsid w:val="00A57A1D"/>
    <w:rsid w:val="00A66B6B"/>
    <w:rsid w:val="00A75D91"/>
    <w:rsid w:val="00A815A0"/>
    <w:rsid w:val="00A81F34"/>
    <w:rsid w:val="00A841B7"/>
    <w:rsid w:val="00A847CC"/>
    <w:rsid w:val="00A909EF"/>
    <w:rsid w:val="00A936B3"/>
    <w:rsid w:val="00AB33D8"/>
    <w:rsid w:val="00AB7FB9"/>
    <w:rsid w:val="00AC12DD"/>
    <w:rsid w:val="00AC7FAA"/>
    <w:rsid w:val="00AE247A"/>
    <w:rsid w:val="00AE6F77"/>
    <w:rsid w:val="00B01BBB"/>
    <w:rsid w:val="00B02D8C"/>
    <w:rsid w:val="00B030C7"/>
    <w:rsid w:val="00B21DCC"/>
    <w:rsid w:val="00B275B2"/>
    <w:rsid w:val="00B30C09"/>
    <w:rsid w:val="00B30E8C"/>
    <w:rsid w:val="00B3121D"/>
    <w:rsid w:val="00B405B7"/>
    <w:rsid w:val="00B43B77"/>
    <w:rsid w:val="00B4488C"/>
    <w:rsid w:val="00B51114"/>
    <w:rsid w:val="00B630D7"/>
    <w:rsid w:val="00B66BB7"/>
    <w:rsid w:val="00B7305A"/>
    <w:rsid w:val="00B758A1"/>
    <w:rsid w:val="00BB0742"/>
    <w:rsid w:val="00BB432E"/>
    <w:rsid w:val="00BD0B0D"/>
    <w:rsid w:val="00BD3C88"/>
    <w:rsid w:val="00BD6C11"/>
    <w:rsid w:val="00BE3F81"/>
    <w:rsid w:val="00BE47E6"/>
    <w:rsid w:val="00BE5BDF"/>
    <w:rsid w:val="00BF144A"/>
    <w:rsid w:val="00BF1C6F"/>
    <w:rsid w:val="00C03CE3"/>
    <w:rsid w:val="00C12012"/>
    <w:rsid w:val="00C20AD9"/>
    <w:rsid w:val="00C253B2"/>
    <w:rsid w:val="00C26EC5"/>
    <w:rsid w:val="00C3260F"/>
    <w:rsid w:val="00C33903"/>
    <w:rsid w:val="00C3394A"/>
    <w:rsid w:val="00C52703"/>
    <w:rsid w:val="00C5381D"/>
    <w:rsid w:val="00C57ED5"/>
    <w:rsid w:val="00C61A2A"/>
    <w:rsid w:val="00C71E19"/>
    <w:rsid w:val="00C76266"/>
    <w:rsid w:val="00C80364"/>
    <w:rsid w:val="00C81796"/>
    <w:rsid w:val="00C97806"/>
    <w:rsid w:val="00CB0CBE"/>
    <w:rsid w:val="00CB1EC5"/>
    <w:rsid w:val="00CC172A"/>
    <w:rsid w:val="00CC6B01"/>
    <w:rsid w:val="00CE0596"/>
    <w:rsid w:val="00CE2AE0"/>
    <w:rsid w:val="00CE3119"/>
    <w:rsid w:val="00CF077A"/>
    <w:rsid w:val="00D044DB"/>
    <w:rsid w:val="00D107BE"/>
    <w:rsid w:val="00D15DFC"/>
    <w:rsid w:val="00D23435"/>
    <w:rsid w:val="00D244E9"/>
    <w:rsid w:val="00D44507"/>
    <w:rsid w:val="00D46F83"/>
    <w:rsid w:val="00D47783"/>
    <w:rsid w:val="00D5588E"/>
    <w:rsid w:val="00D76135"/>
    <w:rsid w:val="00D91278"/>
    <w:rsid w:val="00DB7D08"/>
    <w:rsid w:val="00DC3741"/>
    <w:rsid w:val="00DC3CA7"/>
    <w:rsid w:val="00DC5BD8"/>
    <w:rsid w:val="00DC6A96"/>
    <w:rsid w:val="00DC77D7"/>
    <w:rsid w:val="00DD5D7F"/>
    <w:rsid w:val="00DE4581"/>
    <w:rsid w:val="00DE7A64"/>
    <w:rsid w:val="00DF32EC"/>
    <w:rsid w:val="00DF78EB"/>
    <w:rsid w:val="00DF7C89"/>
    <w:rsid w:val="00E00B3C"/>
    <w:rsid w:val="00E02E79"/>
    <w:rsid w:val="00E120FD"/>
    <w:rsid w:val="00E22343"/>
    <w:rsid w:val="00E27DC4"/>
    <w:rsid w:val="00E36EDC"/>
    <w:rsid w:val="00E41596"/>
    <w:rsid w:val="00E434D3"/>
    <w:rsid w:val="00E5432A"/>
    <w:rsid w:val="00E63B6E"/>
    <w:rsid w:val="00E80E5E"/>
    <w:rsid w:val="00E9026E"/>
    <w:rsid w:val="00E90EFC"/>
    <w:rsid w:val="00EA75D1"/>
    <w:rsid w:val="00EB03C3"/>
    <w:rsid w:val="00EB6E1C"/>
    <w:rsid w:val="00EC586F"/>
    <w:rsid w:val="00EE2291"/>
    <w:rsid w:val="00EE6451"/>
    <w:rsid w:val="00EE68EE"/>
    <w:rsid w:val="00EF1EE4"/>
    <w:rsid w:val="00EF5F3C"/>
    <w:rsid w:val="00F02D17"/>
    <w:rsid w:val="00F12367"/>
    <w:rsid w:val="00F1791D"/>
    <w:rsid w:val="00F3322F"/>
    <w:rsid w:val="00F74E7A"/>
    <w:rsid w:val="00F838AC"/>
    <w:rsid w:val="00F875E0"/>
    <w:rsid w:val="00F92022"/>
    <w:rsid w:val="00F93F98"/>
    <w:rsid w:val="00FA58D4"/>
    <w:rsid w:val="00FA7561"/>
    <w:rsid w:val="00FB6167"/>
    <w:rsid w:val="00FB74F1"/>
    <w:rsid w:val="00FD2B10"/>
    <w:rsid w:val="00FE158A"/>
    <w:rsid w:val="00FE1A80"/>
    <w:rsid w:val="0101B88E"/>
    <w:rsid w:val="01470567"/>
    <w:rsid w:val="0177B85A"/>
    <w:rsid w:val="023405A7"/>
    <w:rsid w:val="02887A2C"/>
    <w:rsid w:val="0423B740"/>
    <w:rsid w:val="04582818"/>
    <w:rsid w:val="045F0415"/>
    <w:rsid w:val="05172388"/>
    <w:rsid w:val="05465AD1"/>
    <w:rsid w:val="05637989"/>
    <w:rsid w:val="059E3E85"/>
    <w:rsid w:val="06A60039"/>
    <w:rsid w:val="071BE784"/>
    <w:rsid w:val="093E1C0B"/>
    <w:rsid w:val="0ABA4FEF"/>
    <w:rsid w:val="0C32C117"/>
    <w:rsid w:val="0C9930B6"/>
    <w:rsid w:val="0D251B48"/>
    <w:rsid w:val="0E54D0E4"/>
    <w:rsid w:val="0F05D685"/>
    <w:rsid w:val="0FB2D8DD"/>
    <w:rsid w:val="113644DC"/>
    <w:rsid w:val="1264775A"/>
    <w:rsid w:val="133141C4"/>
    <w:rsid w:val="1365CA5F"/>
    <w:rsid w:val="13B9593D"/>
    <w:rsid w:val="14CE53A3"/>
    <w:rsid w:val="1538F799"/>
    <w:rsid w:val="156BBCF7"/>
    <w:rsid w:val="15F6D550"/>
    <w:rsid w:val="16E4B895"/>
    <w:rsid w:val="181CDF1C"/>
    <w:rsid w:val="183A468A"/>
    <w:rsid w:val="18ED5E32"/>
    <w:rsid w:val="1A1CB4C9"/>
    <w:rsid w:val="1BE75666"/>
    <w:rsid w:val="1C224286"/>
    <w:rsid w:val="1C2F4D5C"/>
    <w:rsid w:val="1EAD36EE"/>
    <w:rsid w:val="21AD7EAD"/>
    <w:rsid w:val="21E591C4"/>
    <w:rsid w:val="2248712B"/>
    <w:rsid w:val="226D7F0D"/>
    <w:rsid w:val="2286C6CB"/>
    <w:rsid w:val="2497ECC4"/>
    <w:rsid w:val="25E722A2"/>
    <w:rsid w:val="26914FF4"/>
    <w:rsid w:val="289D09EA"/>
    <w:rsid w:val="289D9924"/>
    <w:rsid w:val="2A28FC04"/>
    <w:rsid w:val="2AC37CB7"/>
    <w:rsid w:val="2B7FE109"/>
    <w:rsid w:val="2D998E75"/>
    <w:rsid w:val="2DD8F64E"/>
    <w:rsid w:val="2EC422A0"/>
    <w:rsid w:val="307C43EF"/>
    <w:rsid w:val="30A5EACB"/>
    <w:rsid w:val="30A7D2A5"/>
    <w:rsid w:val="30E6D575"/>
    <w:rsid w:val="3125C2CE"/>
    <w:rsid w:val="320B37EA"/>
    <w:rsid w:val="32C12FEB"/>
    <w:rsid w:val="33126F51"/>
    <w:rsid w:val="3367915A"/>
    <w:rsid w:val="33F84F9D"/>
    <w:rsid w:val="343BF23B"/>
    <w:rsid w:val="35D7FBE8"/>
    <w:rsid w:val="3667BC6E"/>
    <w:rsid w:val="36A9B44F"/>
    <w:rsid w:val="383FABCF"/>
    <w:rsid w:val="3927FEA3"/>
    <w:rsid w:val="3A9E66AD"/>
    <w:rsid w:val="3BD0E32D"/>
    <w:rsid w:val="3DA96344"/>
    <w:rsid w:val="3DAD4EC9"/>
    <w:rsid w:val="3F9617D8"/>
    <w:rsid w:val="3FEA1C46"/>
    <w:rsid w:val="4053ED3B"/>
    <w:rsid w:val="416E4B87"/>
    <w:rsid w:val="41A72620"/>
    <w:rsid w:val="4305D7D8"/>
    <w:rsid w:val="43589923"/>
    <w:rsid w:val="43EB752D"/>
    <w:rsid w:val="4484AE64"/>
    <w:rsid w:val="45F2AA34"/>
    <w:rsid w:val="4632E7ED"/>
    <w:rsid w:val="475BEEFC"/>
    <w:rsid w:val="48C807A9"/>
    <w:rsid w:val="4907F5D7"/>
    <w:rsid w:val="4920D25D"/>
    <w:rsid w:val="49ED87F0"/>
    <w:rsid w:val="4AA4BAFE"/>
    <w:rsid w:val="4AFAEE2F"/>
    <w:rsid w:val="4B07FD36"/>
    <w:rsid w:val="4B0C6A03"/>
    <w:rsid w:val="4C4CAFF0"/>
    <w:rsid w:val="4C58C3FC"/>
    <w:rsid w:val="4C9466A2"/>
    <w:rsid w:val="4D37016C"/>
    <w:rsid w:val="4D3718F4"/>
    <w:rsid w:val="4EF4225F"/>
    <w:rsid w:val="4F27D9A8"/>
    <w:rsid w:val="4F49088F"/>
    <w:rsid w:val="4F4A30A8"/>
    <w:rsid w:val="4F957564"/>
    <w:rsid w:val="505ACC20"/>
    <w:rsid w:val="50EAD1F9"/>
    <w:rsid w:val="518C4D27"/>
    <w:rsid w:val="519B8FC0"/>
    <w:rsid w:val="51B90A6B"/>
    <w:rsid w:val="52014242"/>
    <w:rsid w:val="52CE61AC"/>
    <w:rsid w:val="5404FD75"/>
    <w:rsid w:val="55365453"/>
    <w:rsid w:val="5582DBE9"/>
    <w:rsid w:val="559A6E82"/>
    <w:rsid w:val="559B33B0"/>
    <w:rsid w:val="55BE970C"/>
    <w:rsid w:val="56862B87"/>
    <w:rsid w:val="569D110B"/>
    <w:rsid w:val="5707A897"/>
    <w:rsid w:val="587A6C3A"/>
    <w:rsid w:val="58D1919D"/>
    <w:rsid w:val="58D96AD0"/>
    <w:rsid w:val="59A6B98F"/>
    <w:rsid w:val="5A0276DE"/>
    <w:rsid w:val="5AF6F9EA"/>
    <w:rsid w:val="5B105D5A"/>
    <w:rsid w:val="5B1A8B17"/>
    <w:rsid w:val="5BC77AFD"/>
    <w:rsid w:val="5DE5090E"/>
    <w:rsid w:val="5EEA725B"/>
    <w:rsid w:val="5F204340"/>
    <w:rsid w:val="5F390514"/>
    <w:rsid w:val="606CFD9D"/>
    <w:rsid w:val="60E13CD7"/>
    <w:rsid w:val="61CA4F07"/>
    <w:rsid w:val="636768A0"/>
    <w:rsid w:val="639D85BA"/>
    <w:rsid w:val="63D03480"/>
    <w:rsid w:val="64D567BD"/>
    <w:rsid w:val="6633ED01"/>
    <w:rsid w:val="66BA291B"/>
    <w:rsid w:val="66EAD10A"/>
    <w:rsid w:val="68991FEC"/>
    <w:rsid w:val="6942854C"/>
    <w:rsid w:val="695EB8DB"/>
    <w:rsid w:val="6A6BFB3A"/>
    <w:rsid w:val="6BEA0774"/>
    <w:rsid w:val="6E6EE0E6"/>
    <w:rsid w:val="6E7C48EF"/>
    <w:rsid w:val="6E80BE40"/>
    <w:rsid w:val="6F75E8AA"/>
    <w:rsid w:val="6F8AB9DA"/>
    <w:rsid w:val="6FCE4AEB"/>
    <w:rsid w:val="70624F64"/>
    <w:rsid w:val="70981D42"/>
    <w:rsid w:val="7117715E"/>
    <w:rsid w:val="72B28FB5"/>
    <w:rsid w:val="730BB1E5"/>
    <w:rsid w:val="751582D5"/>
    <w:rsid w:val="758C5E60"/>
    <w:rsid w:val="75D5020E"/>
    <w:rsid w:val="761E434E"/>
    <w:rsid w:val="779920BF"/>
    <w:rsid w:val="7868891E"/>
    <w:rsid w:val="7872F043"/>
    <w:rsid w:val="7952D281"/>
    <w:rsid w:val="797201E6"/>
    <w:rsid w:val="79B1C913"/>
    <w:rsid w:val="7AA00FD8"/>
    <w:rsid w:val="7B0AEAE0"/>
    <w:rsid w:val="7B9957D9"/>
    <w:rsid w:val="7C10C5C5"/>
    <w:rsid w:val="7C363DC1"/>
    <w:rsid w:val="7CDE7944"/>
    <w:rsid w:val="7D00E70C"/>
    <w:rsid w:val="7F70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6F847"/>
  <w14:defaultImageDpi w14:val="96"/>
  <w15:docId w15:val="{39AB05E6-2050-4B57-9B14-4DF1EB4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rsid w:val="00F12367"/>
    <w:pPr>
      <w:spacing w:after="120" w:line="360" w:lineRule="auto"/>
      <w:ind w:left="113"/>
      <w:jc w:val="center"/>
      <w:outlineLvl w:val="0"/>
    </w:pPr>
    <w:rPr>
      <w:rFonts w:asciiTheme="majorHAnsi" w:hAnsiTheme="majorHAnsi"/>
      <w:b/>
      <w:bCs/>
      <w:sz w:val="52"/>
    </w:rPr>
  </w:style>
  <w:style w:type="paragraph" w:styleId="Heading2">
    <w:name w:val="heading 2"/>
    <w:basedOn w:val="Normal"/>
    <w:next w:val="Normal"/>
    <w:link w:val="Heading2Char"/>
    <w:uiPriority w:val="9"/>
    <w:unhideWhenUsed/>
    <w:qFormat/>
    <w:rsid w:val="00DC3741"/>
    <w:pPr>
      <w:keepNext/>
      <w:keepLines/>
      <w:spacing w:before="120" w:after="12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394F12"/>
    <w:pPr>
      <w:keepNext/>
      <w:keepLines/>
      <w:spacing w:before="120" w:after="120"/>
      <w:outlineLvl w:val="2"/>
    </w:pPr>
    <w:rPr>
      <w:rFonts w:ascii="Tahoma" w:eastAsiaTheme="majorEastAsia" w:hAnsi="Tahom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3741"/>
    <w:pPr>
      <w:spacing w:before="120" w:after="240"/>
    </w:pPr>
    <w:rPr>
      <w:rFonts w:ascii="Tahoma" w:hAnsi="Tahoma"/>
    </w:rPr>
  </w:style>
  <w:style w:type="character" w:customStyle="1" w:styleId="BodyTextChar">
    <w:name w:val="Body Text Char"/>
    <w:basedOn w:val="DefaultParagraphFont"/>
    <w:link w:val="BodyText"/>
    <w:uiPriority w:val="1"/>
    <w:rsid w:val="00DC3741"/>
    <w:rPr>
      <w:rFonts w:ascii="Tahoma" w:hAnsi="Tahoma" w:cs="Arial"/>
    </w:rPr>
  </w:style>
  <w:style w:type="character" w:customStyle="1" w:styleId="Heading1Char">
    <w:name w:val="Heading 1 Char"/>
    <w:basedOn w:val="DefaultParagraphFont"/>
    <w:link w:val="Heading1"/>
    <w:uiPriority w:val="1"/>
    <w:rsid w:val="00F12367"/>
    <w:rPr>
      <w:rFonts w:asciiTheme="majorHAnsi" w:hAnsiTheme="majorHAnsi" w:cs="Arial"/>
      <w:b/>
      <w:bCs/>
      <w:sz w:val="52"/>
    </w:rPr>
  </w:style>
  <w:style w:type="paragraph" w:styleId="ListParagraph">
    <w:name w:val="List Paragraph"/>
    <w:basedOn w:val="Normal"/>
    <w:uiPriority w:val="1"/>
    <w:qFormat/>
    <w:rsid w:val="0088782A"/>
    <w:pPr>
      <w:spacing w:before="120"/>
      <w:ind w:left="834" w:hanging="573"/>
    </w:pPr>
    <w:rPr>
      <w:rFonts w:ascii="Tahoma" w:hAnsi="Tahoma"/>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C5BD8"/>
    <w:pPr>
      <w:tabs>
        <w:tab w:val="center" w:pos="4513"/>
        <w:tab w:val="right" w:pos="9026"/>
      </w:tabs>
    </w:pPr>
  </w:style>
  <w:style w:type="character" w:customStyle="1" w:styleId="HeaderChar">
    <w:name w:val="Header Char"/>
    <w:basedOn w:val="DefaultParagraphFont"/>
    <w:link w:val="Header"/>
    <w:uiPriority w:val="99"/>
    <w:rsid w:val="00DC5BD8"/>
    <w:rPr>
      <w:rFonts w:ascii="Arial" w:hAnsi="Arial" w:cs="Arial"/>
    </w:rPr>
  </w:style>
  <w:style w:type="paragraph" w:styleId="Footer">
    <w:name w:val="footer"/>
    <w:basedOn w:val="Normal"/>
    <w:link w:val="FooterChar"/>
    <w:uiPriority w:val="99"/>
    <w:unhideWhenUsed/>
    <w:rsid w:val="00DC5BD8"/>
    <w:pPr>
      <w:tabs>
        <w:tab w:val="center" w:pos="4513"/>
        <w:tab w:val="right" w:pos="9026"/>
      </w:tabs>
    </w:pPr>
  </w:style>
  <w:style w:type="character" w:customStyle="1" w:styleId="FooterChar">
    <w:name w:val="Footer Char"/>
    <w:basedOn w:val="DefaultParagraphFont"/>
    <w:link w:val="Footer"/>
    <w:uiPriority w:val="99"/>
    <w:rsid w:val="00DC5BD8"/>
    <w:rPr>
      <w:rFonts w:ascii="Arial" w:hAnsi="Arial" w:cs="Arial"/>
    </w:rPr>
  </w:style>
  <w:style w:type="paragraph" w:styleId="BalloonText">
    <w:name w:val="Balloon Text"/>
    <w:basedOn w:val="Normal"/>
    <w:link w:val="BalloonTextChar"/>
    <w:uiPriority w:val="99"/>
    <w:semiHidden/>
    <w:unhideWhenUsed/>
    <w:rsid w:val="005E4F70"/>
    <w:rPr>
      <w:rFonts w:ascii="Tahoma" w:hAnsi="Tahoma" w:cs="Tahoma"/>
      <w:sz w:val="16"/>
      <w:szCs w:val="16"/>
    </w:rPr>
  </w:style>
  <w:style w:type="character" w:customStyle="1" w:styleId="BalloonTextChar">
    <w:name w:val="Balloon Text Char"/>
    <w:basedOn w:val="DefaultParagraphFont"/>
    <w:link w:val="BalloonText"/>
    <w:uiPriority w:val="99"/>
    <w:semiHidden/>
    <w:rsid w:val="005E4F70"/>
    <w:rPr>
      <w:rFonts w:ascii="Tahoma" w:hAnsi="Tahoma" w:cs="Tahoma"/>
      <w:sz w:val="16"/>
      <w:szCs w:val="16"/>
    </w:rPr>
  </w:style>
  <w:style w:type="character" w:styleId="CommentReference">
    <w:name w:val="annotation reference"/>
    <w:basedOn w:val="DefaultParagraphFont"/>
    <w:uiPriority w:val="99"/>
    <w:unhideWhenUsed/>
    <w:rsid w:val="00934BAF"/>
    <w:rPr>
      <w:sz w:val="16"/>
      <w:szCs w:val="16"/>
    </w:rPr>
  </w:style>
  <w:style w:type="paragraph" w:styleId="CommentText">
    <w:name w:val="annotation text"/>
    <w:basedOn w:val="Normal"/>
    <w:link w:val="CommentTextChar"/>
    <w:uiPriority w:val="99"/>
    <w:unhideWhenUsed/>
    <w:rsid w:val="00934BAF"/>
    <w:rPr>
      <w:sz w:val="20"/>
      <w:szCs w:val="20"/>
    </w:rPr>
  </w:style>
  <w:style w:type="character" w:customStyle="1" w:styleId="CommentTextChar">
    <w:name w:val="Comment Text Char"/>
    <w:basedOn w:val="DefaultParagraphFont"/>
    <w:link w:val="CommentText"/>
    <w:uiPriority w:val="99"/>
    <w:rsid w:val="00934B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4BAF"/>
    <w:rPr>
      <w:b/>
      <w:bCs/>
    </w:rPr>
  </w:style>
  <w:style w:type="character" w:customStyle="1" w:styleId="CommentSubjectChar">
    <w:name w:val="Comment Subject Char"/>
    <w:basedOn w:val="CommentTextChar"/>
    <w:link w:val="CommentSubject"/>
    <w:uiPriority w:val="99"/>
    <w:semiHidden/>
    <w:rsid w:val="00934BAF"/>
    <w:rPr>
      <w:rFonts w:ascii="Arial" w:hAnsi="Arial" w:cs="Arial"/>
      <w:b/>
      <w:bCs/>
      <w:sz w:val="20"/>
      <w:szCs w:val="20"/>
    </w:rPr>
  </w:style>
  <w:style w:type="paragraph" w:customStyle="1" w:styleId="BWBBody3">
    <w:name w:val="BWBBody3"/>
    <w:basedOn w:val="Normal"/>
    <w:link w:val="BWBBody3Char"/>
    <w:rsid w:val="004A131F"/>
    <w:pPr>
      <w:widowControl/>
      <w:autoSpaceDE/>
      <w:autoSpaceDN/>
      <w:adjustRightInd/>
      <w:spacing w:after="240" w:line="288" w:lineRule="auto"/>
      <w:ind w:left="879"/>
      <w:jc w:val="both"/>
    </w:pPr>
    <w:rPr>
      <w:rFonts w:eastAsiaTheme="minorHAnsi"/>
      <w:sz w:val="20"/>
      <w:lang w:eastAsia="en-US"/>
    </w:rPr>
  </w:style>
  <w:style w:type="character" w:customStyle="1" w:styleId="BWBBody3Char">
    <w:name w:val="BWBBody3 Char"/>
    <w:basedOn w:val="DefaultParagraphFont"/>
    <w:link w:val="BWBBody3"/>
    <w:rsid w:val="004A131F"/>
    <w:rPr>
      <w:rFonts w:ascii="Arial" w:eastAsiaTheme="minorHAnsi" w:hAnsi="Arial" w:cs="Arial"/>
      <w:sz w:val="20"/>
      <w:lang w:eastAsia="en-US"/>
    </w:rPr>
  </w:style>
  <w:style w:type="paragraph" w:styleId="FootnoteText">
    <w:name w:val="footnote text"/>
    <w:basedOn w:val="Normal"/>
    <w:link w:val="FootnoteTextChar"/>
    <w:uiPriority w:val="99"/>
    <w:semiHidden/>
    <w:unhideWhenUsed/>
    <w:rsid w:val="00822478"/>
    <w:rPr>
      <w:sz w:val="20"/>
      <w:szCs w:val="20"/>
    </w:rPr>
  </w:style>
  <w:style w:type="character" w:customStyle="1" w:styleId="FootnoteTextChar">
    <w:name w:val="Footnote Text Char"/>
    <w:basedOn w:val="DefaultParagraphFont"/>
    <w:link w:val="FootnoteText"/>
    <w:uiPriority w:val="99"/>
    <w:semiHidden/>
    <w:rsid w:val="00822478"/>
    <w:rPr>
      <w:rFonts w:ascii="Arial" w:hAnsi="Arial" w:cs="Arial"/>
      <w:sz w:val="20"/>
      <w:szCs w:val="20"/>
    </w:rPr>
  </w:style>
  <w:style w:type="character" w:styleId="FootnoteReference">
    <w:name w:val="footnote reference"/>
    <w:basedOn w:val="DefaultParagraphFont"/>
    <w:uiPriority w:val="99"/>
    <w:semiHidden/>
    <w:unhideWhenUsed/>
    <w:rsid w:val="00822478"/>
    <w:rPr>
      <w:vertAlign w:val="superscript"/>
    </w:rPr>
  </w:style>
  <w:style w:type="paragraph" w:styleId="Revision">
    <w:name w:val="Revision"/>
    <w:hidden/>
    <w:uiPriority w:val="99"/>
    <w:semiHidden/>
    <w:rsid w:val="000B5DCB"/>
    <w:pPr>
      <w:spacing w:after="0" w:line="240" w:lineRule="auto"/>
    </w:pPr>
    <w:rPr>
      <w:rFonts w:ascii="Arial" w:hAnsi="Arial" w:cs="Arial"/>
    </w:rPr>
  </w:style>
  <w:style w:type="character" w:customStyle="1" w:styleId="Heading2Char">
    <w:name w:val="Heading 2 Char"/>
    <w:basedOn w:val="DefaultParagraphFont"/>
    <w:link w:val="Heading2"/>
    <w:uiPriority w:val="9"/>
    <w:rsid w:val="00DC3741"/>
    <w:rPr>
      <w:rFonts w:ascii="Calibri" w:eastAsiaTheme="majorEastAsia" w:hAnsi="Calibri" w:cstheme="majorBidi"/>
      <w:b/>
      <w:sz w:val="32"/>
      <w:szCs w:val="26"/>
    </w:rPr>
  </w:style>
  <w:style w:type="paragraph" w:styleId="Title">
    <w:name w:val="Title"/>
    <w:basedOn w:val="Normal"/>
    <w:next w:val="Normal"/>
    <w:link w:val="TitleChar"/>
    <w:uiPriority w:val="10"/>
    <w:qFormat/>
    <w:rsid w:val="001A7908"/>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A7908"/>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72BD1"/>
    <w:pPr>
      <w:keepNext/>
      <w:keepLines/>
      <w:widowControl/>
      <w:autoSpaceDE/>
      <w:autoSpaceDN/>
      <w:adjustRightInd/>
      <w:spacing w:before="240" w:line="259" w:lineRule="auto"/>
      <w:ind w:left="0"/>
      <w:outlineLvl w:val="9"/>
    </w:pPr>
    <w:rPr>
      <w:rFonts w:eastAsiaTheme="majorEastAsia" w:cstheme="majorBidi"/>
      <w:b w:val="0"/>
      <w:bCs w:val="0"/>
      <w:color w:val="365F91" w:themeColor="accent1" w:themeShade="BF"/>
      <w:szCs w:val="32"/>
      <w:lang w:val="en-US" w:eastAsia="en-US"/>
    </w:rPr>
  </w:style>
  <w:style w:type="paragraph" w:styleId="TOC1">
    <w:name w:val="toc 1"/>
    <w:basedOn w:val="Normal"/>
    <w:next w:val="Normal"/>
    <w:autoRedefine/>
    <w:uiPriority w:val="39"/>
    <w:unhideWhenUsed/>
    <w:rsid w:val="00372BD1"/>
    <w:pPr>
      <w:spacing w:after="100"/>
    </w:pPr>
  </w:style>
  <w:style w:type="paragraph" w:styleId="TOC2">
    <w:name w:val="toc 2"/>
    <w:basedOn w:val="Normal"/>
    <w:next w:val="Normal"/>
    <w:autoRedefine/>
    <w:uiPriority w:val="39"/>
    <w:unhideWhenUsed/>
    <w:rsid w:val="00372BD1"/>
    <w:pPr>
      <w:spacing w:after="100"/>
      <w:ind w:left="220"/>
    </w:pPr>
  </w:style>
  <w:style w:type="character" w:styleId="Hyperlink">
    <w:name w:val="Hyperlink"/>
    <w:basedOn w:val="DefaultParagraphFont"/>
    <w:uiPriority w:val="99"/>
    <w:unhideWhenUsed/>
    <w:rsid w:val="00372BD1"/>
    <w:rPr>
      <w:color w:val="0000FF" w:themeColor="hyperlink"/>
      <w:u w:val="single"/>
    </w:rPr>
  </w:style>
  <w:style w:type="character" w:customStyle="1" w:styleId="Heading3Char">
    <w:name w:val="Heading 3 Char"/>
    <w:basedOn w:val="DefaultParagraphFont"/>
    <w:link w:val="Heading3"/>
    <w:uiPriority w:val="9"/>
    <w:rsid w:val="00394F12"/>
    <w:rPr>
      <w:rFonts w:ascii="Tahoma" w:eastAsiaTheme="majorEastAsia" w:hAnsi="Tahoma" w:cstheme="majorBidi"/>
      <w:b/>
      <w:i/>
      <w:szCs w:val="24"/>
    </w:rPr>
  </w:style>
  <w:style w:type="paragraph" w:styleId="NoSpacing">
    <w:name w:val="No Spacing"/>
    <w:uiPriority w:val="1"/>
    <w:qFormat/>
    <w:rsid w:val="009A0326"/>
    <w:pPr>
      <w:widowControl w:val="0"/>
      <w:autoSpaceDE w:val="0"/>
      <w:autoSpaceDN w:val="0"/>
      <w:adjustRightInd w:val="0"/>
      <w:spacing w:after="0" w:line="240" w:lineRule="auto"/>
    </w:pPr>
    <w:rPr>
      <w:rFonts w:ascii="Arial" w:hAnsi="Arial" w:cs="Arial"/>
    </w:rPr>
  </w:style>
  <w:style w:type="paragraph" w:styleId="TOC3">
    <w:name w:val="toc 3"/>
    <w:basedOn w:val="Normal"/>
    <w:next w:val="Normal"/>
    <w:autoRedefine/>
    <w:uiPriority w:val="39"/>
    <w:unhideWhenUsed/>
    <w:rsid w:val="00654890"/>
    <w:pPr>
      <w:spacing w:after="100"/>
      <w:ind w:left="440"/>
    </w:pPr>
  </w:style>
  <w:style w:type="character" w:styleId="PageNumber">
    <w:name w:val="page number"/>
    <w:basedOn w:val="DefaultParagraphFont"/>
    <w:uiPriority w:val="99"/>
    <w:semiHidden/>
    <w:unhideWhenUsed/>
    <w:rsid w:val="0026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4" ma:contentTypeDescription="Create a new document." ma:contentTypeScope="" ma:versionID="e29bbc0ccaafbd735497f7c963ac9dd8">
  <xsd:schema xmlns:xsd="http://www.w3.org/2001/XMLSchema" xmlns:xs="http://www.w3.org/2001/XMLSchema" xmlns:p="http://schemas.microsoft.com/office/2006/metadata/properties" xmlns:ns2="8134cc15-57ff-4e4f-9d11-7f3df771d128" targetNamespace="http://schemas.microsoft.com/office/2006/metadata/properties" ma:root="true" ma:fieldsID="fbcd4f0d53f67f620336144f8c85cebf" ns2:_="">
    <xsd:import namespace="8134cc15-57ff-4e4f-9d11-7f3df771d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65F5F-524A-4DF6-A77E-2849ACC3D1D7}">
  <ds:schemaRefs>
    <ds:schemaRef ds:uri="http://schemas.microsoft.com/sharepoint/v3/contenttype/forms"/>
  </ds:schemaRefs>
</ds:datastoreItem>
</file>

<file path=customXml/itemProps2.xml><?xml version="1.0" encoding="utf-8"?>
<ds:datastoreItem xmlns:ds="http://schemas.openxmlformats.org/officeDocument/2006/customXml" ds:itemID="{04AFB176-E896-4B2E-A5A1-84D9CAA1AFCF}">
  <ds:schemaRefs>
    <ds:schemaRef ds:uri="http://schemas.microsoft.com/office/2006/metadata/contentType"/>
    <ds:schemaRef ds:uri="http://schemas.microsoft.com/office/2006/metadata/properties/metaAttributes"/>
    <ds:schemaRef ds:uri="http://www.w3.org/2000/xmlns/"/>
    <ds:schemaRef ds:uri="http://www.w3.org/2001/XMLSchema"/>
    <ds:schemaRef ds:uri="8134cc15-57ff-4e4f-9d11-7f3df771d128"/>
  </ds:schemaRefs>
</ds:datastoreItem>
</file>

<file path=customXml/itemProps3.xml><?xml version="1.0" encoding="utf-8"?>
<ds:datastoreItem xmlns:ds="http://schemas.openxmlformats.org/officeDocument/2006/customXml" ds:itemID="{B03180CA-45D6-4B5B-AEA3-86C68F37B42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BEFB078A-582F-4586-8A19-D8E30794ADFD}">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ECITB Awarding Organisation      omplaints Policy and Procedure     RV2-0</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ECITB Awarding Organisation      omplaints Policy and Procedure     RV2-0</dc:title>
  <dc:subject/>
  <dc:creator>ryo reeme</dc:creator>
  <cp:keywords/>
  <dc:description/>
  <cp:lastModifiedBy>Toni White</cp:lastModifiedBy>
  <cp:revision>2</cp:revision>
  <dcterms:created xsi:type="dcterms:W3CDTF">2022-09-21T11:15:00Z</dcterms:created>
  <dcterms:modified xsi:type="dcterms:W3CDTF">2022-09-21T11:15:00Z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0x01010004E9468714285C46B5253925DAEB5AAA</vt:lpwstr>
  </property>
</Properties>
</file>